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2FD3A" w14:textId="77777777" w:rsidR="001D59D2" w:rsidRPr="005650C3" w:rsidRDefault="001D59D2" w:rsidP="00750BF5">
      <w:pPr>
        <w:ind w:left="-426" w:right="-772"/>
        <w:jc w:val="center"/>
        <w:rPr>
          <w:rFonts w:ascii="Times New Roman" w:hAnsi="Times New Roman" w:cs="Times New Roman"/>
          <w:b/>
        </w:rPr>
      </w:pPr>
      <w:r w:rsidRPr="005650C3">
        <w:rPr>
          <w:rFonts w:ascii="Times New Roman" w:hAnsi="Times New Roman" w:cs="Times New Roman"/>
          <w:b/>
        </w:rPr>
        <w:t>THE IMPACT OF EUROPEAN UNION ON TURKEY’S GENDER RELATED EMPLOYMENT POLICY FROM THE 1999 HELSINKI SUMMIT</w:t>
      </w:r>
    </w:p>
    <w:p w14:paraId="36AC1D28" w14:textId="77777777" w:rsidR="00CC3909" w:rsidRPr="008E3D8E" w:rsidRDefault="00CC3909" w:rsidP="008F4383">
      <w:pPr>
        <w:ind w:right="-772"/>
        <w:rPr>
          <w:rFonts w:ascii="Times New Roman" w:hAnsi="Times New Roman" w:cs="Times New Roman"/>
          <w:lang w:val="nl-NL"/>
        </w:rPr>
      </w:pPr>
    </w:p>
    <w:p w14:paraId="6AEC0B0C" w14:textId="77777777" w:rsidR="007042B4" w:rsidRDefault="00CC3909" w:rsidP="00750BF5">
      <w:pPr>
        <w:ind w:left="-426" w:right="-772"/>
        <w:jc w:val="center"/>
        <w:rPr>
          <w:rFonts w:ascii="Times New Roman" w:hAnsi="Times New Roman" w:cs="Times New Roman"/>
        </w:rPr>
      </w:pPr>
      <w:r>
        <w:rPr>
          <w:rFonts w:ascii="Times New Roman" w:hAnsi="Times New Roman" w:cs="Times New Roman"/>
        </w:rPr>
        <w:t>Political Science</w:t>
      </w:r>
      <w:r w:rsidR="003156B2">
        <w:rPr>
          <w:rFonts w:ascii="Times New Roman" w:hAnsi="Times New Roman" w:cs="Times New Roman"/>
        </w:rPr>
        <w:t xml:space="preserve"> and International Relations, </w:t>
      </w:r>
      <w:r w:rsidR="006536C9">
        <w:rPr>
          <w:rFonts w:ascii="Times New Roman" w:hAnsi="Times New Roman" w:cs="Times New Roman"/>
        </w:rPr>
        <w:t xml:space="preserve">Institute of Graduate Studies, </w:t>
      </w:r>
      <w:r>
        <w:rPr>
          <w:rFonts w:ascii="Times New Roman" w:hAnsi="Times New Roman" w:cs="Times New Roman"/>
        </w:rPr>
        <w:t>Istanbul Aydin University</w:t>
      </w:r>
      <w:r w:rsidRPr="008E3D8E">
        <w:rPr>
          <w:rFonts w:ascii="Times New Roman" w:hAnsi="Times New Roman" w:cs="Times New Roman"/>
        </w:rPr>
        <w:t xml:space="preserve">, </w:t>
      </w:r>
      <w:r w:rsidR="006536C9">
        <w:rPr>
          <w:rFonts w:ascii="Times New Roman" w:hAnsi="Times New Roman" w:cs="Times New Roman"/>
        </w:rPr>
        <w:t>Kucukcekmece</w:t>
      </w:r>
      <w:r>
        <w:rPr>
          <w:rFonts w:ascii="Times New Roman" w:hAnsi="Times New Roman" w:cs="Times New Roman"/>
        </w:rPr>
        <w:t>, Istanbul Turkey</w:t>
      </w:r>
      <w:r w:rsidR="007042B4">
        <w:rPr>
          <w:rFonts w:ascii="Times New Roman" w:hAnsi="Times New Roman" w:cs="Times New Roman"/>
        </w:rPr>
        <w:t>.</w:t>
      </w:r>
    </w:p>
    <w:p w14:paraId="68152ED9" w14:textId="77777777" w:rsidR="00750BF5" w:rsidRDefault="00750BF5" w:rsidP="00750BF5">
      <w:pPr>
        <w:ind w:left="-426" w:right="-772"/>
        <w:jc w:val="center"/>
        <w:rPr>
          <w:rFonts w:ascii="Times New Roman" w:hAnsi="Times New Roman" w:cs="Times New Roman"/>
        </w:rPr>
      </w:pPr>
    </w:p>
    <w:p w14:paraId="5BB80BE7" w14:textId="3032B827" w:rsidR="00CC3909" w:rsidRDefault="00CC3909" w:rsidP="00750BF5">
      <w:pPr>
        <w:ind w:left="-426" w:right="-772"/>
        <w:jc w:val="center"/>
        <w:rPr>
          <w:rFonts w:ascii="Times New Roman" w:hAnsi="Times New Roman" w:cs="Times New Roman"/>
        </w:rPr>
      </w:pPr>
      <w:r w:rsidRPr="008D436F">
        <w:rPr>
          <w:rFonts w:ascii="Times New Roman" w:hAnsi="Times New Roman" w:cs="Times New Roman"/>
          <w:b/>
        </w:rPr>
        <w:t>Correspondence:</w:t>
      </w:r>
      <w:r w:rsidRPr="008E3D8E">
        <w:rPr>
          <w:rFonts w:ascii="Times New Roman" w:hAnsi="Times New Roman" w:cs="Times New Roman"/>
        </w:rPr>
        <w:t xml:space="preserve"> </w:t>
      </w:r>
      <w:r w:rsidR="007042B4">
        <w:rPr>
          <w:rFonts w:ascii="Times New Roman" w:hAnsi="Times New Roman" w:cs="Times New Roman"/>
          <w:lang w:val="nl-NL"/>
        </w:rPr>
        <w:t>Blessing</w:t>
      </w:r>
      <w:r w:rsidR="00D75CA8">
        <w:rPr>
          <w:rFonts w:ascii="Times New Roman" w:hAnsi="Times New Roman" w:cs="Times New Roman"/>
          <w:lang w:val="nl-NL"/>
        </w:rPr>
        <w:t>,</w:t>
      </w:r>
      <w:r w:rsidR="007042B4">
        <w:rPr>
          <w:rFonts w:ascii="Times New Roman" w:hAnsi="Times New Roman" w:cs="Times New Roman"/>
          <w:lang w:val="nl-NL"/>
        </w:rPr>
        <w:t xml:space="preserve"> Chinekwu Okeke</w:t>
      </w:r>
      <w:r>
        <w:rPr>
          <w:rFonts w:ascii="Times New Roman" w:hAnsi="Times New Roman" w:cs="Times New Roman"/>
        </w:rPr>
        <w:t>,</w:t>
      </w:r>
      <w:r w:rsidRPr="008E3D8E">
        <w:rPr>
          <w:rFonts w:ascii="Times New Roman" w:hAnsi="Times New Roman" w:cs="Times New Roman"/>
        </w:rPr>
        <w:t xml:space="preserve"> </w:t>
      </w:r>
      <w:r w:rsidR="007042B4">
        <w:rPr>
          <w:rFonts w:ascii="Times New Roman" w:hAnsi="Times New Roman" w:cs="Times New Roman"/>
        </w:rPr>
        <w:t>Political Science and International Relations, Institute of Graduate Studies, Istanbul Aydin University</w:t>
      </w:r>
      <w:r w:rsidR="007042B4" w:rsidRPr="008E3D8E">
        <w:rPr>
          <w:rFonts w:ascii="Times New Roman" w:hAnsi="Times New Roman" w:cs="Times New Roman"/>
        </w:rPr>
        <w:t xml:space="preserve">, </w:t>
      </w:r>
      <w:r w:rsidR="007030A1">
        <w:rPr>
          <w:rFonts w:ascii="Times New Roman" w:hAnsi="Times New Roman" w:cs="Times New Roman"/>
        </w:rPr>
        <w:t xml:space="preserve">Besyol, Inonu Cd. No 38, 34395, </w:t>
      </w:r>
      <w:r w:rsidR="007042B4">
        <w:rPr>
          <w:rFonts w:ascii="Times New Roman" w:hAnsi="Times New Roman" w:cs="Times New Roman"/>
        </w:rPr>
        <w:t>Kucukcekmece, Istanbul Turkey</w:t>
      </w:r>
      <w:r w:rsidR="00F326A1">
        <w:rPr>
          <w:rFonts w:ascii="Times New Roman" w:hAnsi="Times New Roman" w:cs="Times New Roman"/>
        </w:rPr>
        <w:t>.</w:t>
      </w:r>
    </w:p>
    <w:p w14:paraId="145CA0B0" w14:textId="77777777" w:rsidR="00EE2917" w:rsidRPr="007042B4" w:rsidRDefault="00EE2917" w:rsidP="00750BF5">
      <w:pPr>
        <w:ind w:left="-426" w:right="-772"/>
        <w:jc w:val="center"/>
        <w:rPr>
          <w:rFonts w:ascii="Times New Roman" w:hAnsi="Times New Roman" w:cs="Times New Roman"/>
        </w:rPr>
      </w:pPr>
    </w:p>
    <w:p w14:paraId="3EAD7D20" w14:textId="34E4324D" w:rsidR="00CC3909" w:rsidRDefault="00CC3909" w:rsidP="00750BF5">
      <w:pPr>
        <w:ind w:left="-426" w:right="-772"/>
        <w:jc w:val="center"/>
        <w:rPr>
          <w:rFonts w:ascii="Times New Roman" w:hAnsi="Times New Roman" w:cs="Times New Roman"/>
        </w:rPr>
      </w:pPr>
      <w:r w:rsidRPr="008E3D8E">
        <w:rPr>
          <w:rFonts w:ascii="Times New Roman" w:hAnsi="Times New Roman" w:cs="Times New Roman"/>
        </w:rPr>
        <w:t xml:space="preserve"> </w:t>
      </w:r>
      <w:r w:rsidRPr="008D436F">
        <w:rPr>
          <w:rFonts w:ascii="Times New Roman" w:hAnsi="Times New Roman" w:cs="Times New Roman"/>
          <w:b/>
        </w:rPr>
        <w:t>E-mail:</w:t>
      </w:r>
      <w:r w:rsidRPr="008E3D8E">
        <w:rPr>
          <w:rFonts w:ascii="Times New Roman" w:hAnsi="Times New Roman" w:cs="Times New Roman"/>
        </w:rPr>
        <w:t xml:space="preserve"> </w:t>
      </w:r>
      <w:r w:rsidR="00C54E10" w:rsidRPr="00C54E10">
        <w:rPr>
          <w:rFonts w:ascii="Times New Roman" w:hAnsi="Times New Roman" w:cs="Times New Roman"/>
        </w:rPr>
        <w:t>blessingokeke@stu.aydin.edu.tr</w:t>
      </w:r>
    </w:p>
    <w:p w14:paraId="20A61728" w14:textId="77777777" w:rsidR="00CC3909" w:rsidRDefault="00CC3909" w:rsidP="00750BF5">
      <w:pPr>
        <w:ind w:left="-567" w:right="-489"/>
        <w:jc w:val="both"/>
        <w:rPr>
          <w:rFonts w:ascii="Times New Roman" w:hAnsi="Times New Roman" w:cs="Times New Roman"/>
          <w:b/>
        </w:rPr>
      </w:pPr>
    </w:p>
    <w:p w14:paraId="1ED32DE7" w14:textId="77777777" w:rsidR="00CC3909" w:rsidRDefault="00CC3909" w:rsidP="00CC3909">
      <w:pPr>
        <w:ind w:left="-567" w:right="-489"/>
        <w:jc w:val="both"/>
        <w:rPr>
          <w:rFonts w:ascii="Times New Roman" w:hAnsi="Times New Roman" w:cs="Times New Roman"/>
          <w:b/>
        </w:rPr>
      </w:pPr>
    </w:p>
    <w:p w14:paraId="686EC800" w14:textId="77777777" w:rsidR="002227C7" w:rsidRDefault="00CC3909" w:rsidP="002227C7">
      <w:pPr>
        <w:ind w:left="-567" w:right="-489"/>
        <w:jc w:val="both"/>
        <w:rPr>
          <w:rFonts w:ascii="Times New Roman" w:hAnsi="Times New Roman" w:cs="Times New Roman"/>
          <w:b/>
        </w:rPr>
      </w:pPr>
      <w:r w:rsidRPr="008E3D8E">
        <w:rPr>
          <w:rFonts w:ascii="Times New Roman" w:hAnsi="Times New Roman" w:cs="Times New Roman"/>
          <w:b/>
        </w:rPr>
        <w:t>Abstract</w:t>
      </w:r>
    </w:p>
    <w:p w14:paraId="5B1ABF76" w14:textId="77777777" w:rsidR="002227C7" w:rsidRDefault="002227C7" w:rsidP="002227C7">
      <w:pPr>
        <w:ind w:left="-567" w:right="-489"/>
        <w:jc w:val="both"/>
        <w:rPr>
          <w:rFonts w:ascii="Times New Roman" w:hAnsi="Times New Roman" w:cs="Times New Roman"/>
          <w:b/>
        </w:rPr>
      </w:pPr>
    </w:p>
    <w:p w14:paraId="1C6376EB" w14:textId="2D887C4C" w:rsidR="00925288" w:rsidRDefault="002227C7" w:rsidP="00925288">
      <w:pPr>
        <w:ind w:left="-567" w:right="-489"/>
        <w:jc w:val="both"/>
        <w:rPr>
          <w:rFonts w:ascii="Times New Roman" w:eastAsia="Times New Roman" w:hAnsi="Times New Roman" w:cs="Times New Roman"/>
        </w:rPr>
      </w:pPr>
      <w:r w:rsidRPr="00D42B78">
        <w:rPr>
          <w:rFonts w:ascii="Times New Roman" w:eastAsia="Times New Roman" w:hAnsi="Times New Roman" w:cs="Times New Roman"/>
        </w:rPr>
        <w:t>The aim</w:t>
      </w:r>
      <w:r w:rsidR="00A36265">
        <w:rPr>
          <w:rFonts w:ascii="Times New Roman" w:eastAsia="Times New Roman" w:hAnsi="Times New Roman" w:cs="Times New Roman"/>
        </w:rPr>
        <w:t>s of this research were</w:t>
      </w:r>
      <w:r w:rsidRPr="00D42B78">
        <w:rPr>
          <w:rFonts w:ascii="Times New Roman" w:eastAsia="Times New Roman" w:hAnsi="Times New Roman" w:cs="Times New Roman"/>
        </w:rPr>
        <w:t xml:space="preserve"> to </w:t>
      </w:r>
      <w:r w:rsidR="00FA7228">
        <w:rPr>
          <w:rFonts w:ascii="Times New Roman" w:eastAsia="Times New Roman" w:hAnsi="Times New Roman" w:cs="Times New Roman"/>
        </w:rPr>
        <w:t xml:space="preserve">determine if the European Union served as a driving force </w:t>
      </w:r>
      <w:r w:rsidR="00FA7228" w:rsidRPr="005650C3">
        <w:rPr>
          <w:rFonts w:ascii="Times New Roman" w:hAnsi="Times New Roman" w:cs="Times New Roman"/>
          <w:lang w:val="en-GB"/>
        </w:rPr>
        <w:t xml:space="preserve">in </w:t>
      </w:r>
      <w:r w:rsidR="00FA7228">
        <w:rPr>
          <w:rFonts w:ascii="Times New Roman" w:hAnsi="Times New Roman" w:cs="Times New Roman"/>
          <w:lang w:val="en-GB"/>
        </w:rPr>
        <w:t xml:space="preserve">the </w:t>
      </w:r>
      <w:r w:rsidR="00FA7228" w:rsidRPr="005650C3">
        <w:rPr>
          <w:rFonts w:ascii="Times New Roman" w:hAnsi="Times New Roman" w:cs="Times New Roman"/>
          <w:lang w:val="en-GB"/>
        </w:rPr>
        <w:t>determin</w:t>
      </w:r>
      <w:r w:rsidR="00FA7228">
        <w:rPr>
          <w:rFonts w:ascii="Times New Roman" w:hAnsi="Times New Roman" w:cs="Times New Roman"/>
          <w:lang w:val="en-GB"/>
        </w:rPr>
        <w:t xml:space="preserve">ation of </w:t>
      </w:r>
      <w:r w:rsidR="00FA7228" w:rsidRPr="005650C3">
        <w:rPr>
          <w:rFonts w:ascii="Times New Roman" w:hAnsi="Times New Roman" w:cs="Times New Roman"/>
          <w:lang w:val="en-GB"/>
        </w:rPr>
        <w:t>Turkey’s employment policy decisions</w:t>
      </w:r>
      <w:r w:rsidR="00FA7228">
        <w:rPr>
          <w:rFonts w:ascii="Times New Roman" w:hAnsi="Times New Roman" w:cs="Times New Roman"/>
          <w:lang w:val="en-GB"/>
        </w:rPr>
        <w:t xml:space="preserve">; measure Turkey’s current progress report in terms of the adoption of the EU’s gender employment policy; </w:t>
      </w:r>
      <w:r w:rsidR="00D216D4">
        <w:rPr>
          <w:rFonts w:ascii="Times New Roman" w:hAnsi="Times New Roman" w:cs="Times New Roman"/>
          <w:lang w:val="en-GB"/>
        </w:rPr>
        <w:t xml:space="preserve">discover the greatest </w:t>
      </w:r>
      <w:r w:rsidR="00780853">
        <w:rPr>
          <w:rFonts w:ascii="Times New Roman" w:hAnsi="Times New Roman" w:cs="Times New Roman"/>
          <w:lang w:val="en-GB"/>
        </w:rPr>
        <w:t xml:space="preserve">challenges or problems caused by </w:t>
      </w:r>
      <w:r w:rsidR="00780853" w:rsidRPr="005650C3">
        <w:rPr>
          <w:rFonts w:ascii="Times New Roman" w:hAnsi="Times New Roman" w:cs="Times New Roman"/>
          <w:lang w:val="en-GB"/>
        </w:rPr>
        <w:t>Turkey’s gender employment policy</w:t>
      </w:r>
      <w:r w:rsidR="00780853">
        <w:rPr>
          <w:rFonts w:ascii="Times New Roman" w:hAnsi="Times New Roman" w:cs="Times New Roman"/>
          <w:lang w:val="en-GB"/>
        </w:rPr>
        <w:t xml:space="preserve">. </w:t>
      </w:r>
      <w:r w:rsidR="00B75354">
        <w:rPr>
          <w:rFonts w:ascii="Times New Roman" w:hAnsi="Times New Roman" w:cs="Times New Roman"/>
          <w:lang w:val="en-GB"/>
        </w:rPr>
        <w:t xml:space="preserve">Apart from these aims, other aims that this research set out to achieve were </w:t>
      </w:r>
      <w:r w:rsidR="00853255">
        <w:rPr>
          <w:rFonts w:ascii="Times New Roman" w:hAnsi="Times New Roman" w:cs="Times New Roman"/>
          <w:lang w:val="en-GB"/>
        </w:rPr>
        <w:t xml:space="preserve">measuring the extent of Turkey’s compliance with the </w:t>
      </w:r>
      <w:r w:rsidR="00853255" w:rsidRPr="005650C3">
        <w:rPr>
          <w:rFonts w:ascii="Times New Roman" w:hAnsi="Times New Roman" w:cs="Times New Roman"/>
          <w:lang w:val="en-GB"/>
        </w:rPr>
        <w:t>European Union’s standards in the area of gender equality</w:t>
      </w:r>
      <w:r w:rsidR="00853255">
        <w:rPr>
          <w:rFonts w:ascii="Times New Roman" w:hAnsi="Times New Roman" w:cs="Times New Roman"/>
          <w:lang w:val="en-GB"/>
        </w:rPr>
        <w:t xml:space="preserve">; discovering the impact of the </w:t>
      </w:r>
      <w:r w:rsidR="00853255" w:rsidRPr="005650C3">
        <w:rPr>
          <w:rFonts w:ascii="Times New Roman" w:hAnsi="Times New Roman" w:cs="Times New Roman"/>
          <w:lang w:val="en-GB"/>
        </w:rPr>
        <w:t>European Union’s Gender Equality Regime in Turkey’s employment patterns, especially in practice</w:t>
      </w:r>
      <w:r w:rsidR="00853255">
        <w:rPr>
          <w:rFonts w:ascii="Times New Roman" w:hAnsi="Times New Roman" w:cs="Times New Roman"/>
          <w:lang w:val="en-GB"/>
        </w:rPr>
        <w:t xml:space="preserve"> and lastly, </w:t>
      </w:r>
      <w:r w:rsidR="0079556C">
        <w:rPr>
          <w:rFonts w:ascii="Times New Roman" w:hAnsi="Times New Roman" w:cs="Times New Roman"/>
          <w:lang w:val="en-GB"/>
        </w:rPr>
        <w:t>measuring the EU’s effectiveness in ensuring the achievement of gender equality among member nati</w:t>
      </w:r>
      <w:r w:rsidR="00A83DFB">
        <w:rPr>
          <w:rFonts w:ascii="Times New Roman" w:hAnsi="Times New Roman" w:cs="Times New Roman"/>
          <w:lang w:val="en-GB"/>
        </w:rPr>
        <w:t xml:space="preserve">ons. </w:t>
      </w:r>
      <w:r w:rsidRPr="00D42B78">
        <w:rPr>
          <w:rFonts w:ascii="Times New Roman" w:eastAsia="Times New Roman" w:hAnsi="Times New Roman" w:cs="Times New Roman"/>
        </w:rPr>
        <w:t xml:space="preserve">This </w:t>
      </w:r>
      <w:r w:rsidR="004B0CC1">
        <w:rPr>
          <w:rFonts w:ascii="Times New Roman" w:eastAsia="Times New Roman" w:hAnsi="Times New Roman" w:cs="Times New Roman"/>
        </w:rPr>
        <w:t xml:space="preserve">research employed the </w:t>
      </w:r>
      <w:r w:rsidR="008D3FE4">
        <w:rPr>
          <w:rFonts w:ascii="Times New Roman" w:eastAsia="Times New Roman" w:hAnsi="Times New Roman" w:cs="Times New Roman"/>
        </w:rPr>
        <w:t xml:space="preserve">qualitative research method, </w:t>
      </w:r>
      <w:r w:rsidR="00091857">
        <w:rPr>
          <w:rFonts w:ascii="Times New Roman" w:eastAsia="Times New Roman" w:hAnsi="Times New Roman" w:cs="Times New Roman"/>
        </w:rPr>
        <w:t xml:space="preserve">utilizing </w:t>
      </w:r>
      <w:r w:rsidR="00A455AD">
        <w:rPr>
          <w:rFonts w:ascii="Times New Roman" w:eastAsia="Times New Roman" w:hAnsi="Times New Roman" w:cs="Times New Roman"/>
        </w:rPr>
        <w:t>face-to-face</w:t>
      </w:r>
      <w:r w:rsidR="00404EB3">
        <w:rPr>
          <w:rFonts w:ascii="Times New Roman" w:eastAsia="Times New Roman" w:hAnsi="Times New Roman" w:cs="Times New Roman"/>
        </w:rPr>
        <w:t xml:space="preserve"> </w:t>
      </w:r>
      <w:r w:rsidR="00A455AD">
        <w:rPr>
          <w:rFonts w:ascii="Times New Roman" w:eastAsia="Times New Roman" w:hAnsi="Times New Roman" w:cs="Times New Roman"/>
        </w:rPr>
        <w:t xml:space="preserve">interviews conducted on </w:t>
      </w:r>
      <w:r w:rsidR="00EC64CC">
        <w:rPr>
          <w:rFonts w:ascii="Times New Roman" w:eastAsia="Times New Roman" w:hAnsi="Times New Roman" w:cs="Times New Roman"/>
        </w:rPr>
        <w:t xml:space="preserve">10 carefully selected Turkish citizens </w:t>
      </w:r>
      <w:r w:rsidR="002C5CF6">
        <w:rPr>
          <w:rFonts w:ascii="Times New Roman" w:eastAsia="Times New Roman" w:hAnsi="Times New Roman" w:cs="Times New Roman"/>
        </w:rPr>
        <w:t>to collect information relevant to answering this study’s research questions.</w:t>
      </w:r>
      <w:r w:rsidR="000210C3">
        <w:rPr>
          <w:rFonts w:ascii="Times New Roman" w:eastAsia="Times New Roman" w:hAnsi="Times New Roman" w:cs="Times New Roman"/>
        </w:rPr>
        <w:t xml:space="preserve"> </w:t>
      </w:r>
      <w:r w:rsidR="00E31AF8">
        <w:rPr>
          <w:rFonts w:ascii="Times New Roman" w:eastAsia="Times New Roman" w:hAnsi="Times New Roman" w:cs="Times New Roman"/>
        </w:rPr>
        <w:t xml:space="preserve">These interviewees </w:t>
      </w:r>
      <w:r w:rsidR="003F1960">
        <w:rPr>
          <w:rFonts w:ascii="Times New Roman" w:eastAsia="Times New Roman" w:hAnsi="Times New Roman" w:cs="Times New Roman"/>
        </w:rPr>
        <w:t xml:space="preserve">comprised of </w:t>
      </w:r>
      <w:r w:rsidR="00411F6B">
        <w:rPr>
          <w:rFonts w:ascii="Times New Roman" w:eastAsia="Times New Roman" w:hAnsi="Times New Roman" w:cs="Times New Roman"/>
        </w:rPr>
        <w:t xml:space="preserve">5 men and 5 women, all of whom were senior staff members of </w:t>
      </w:r>
      <w:r w:rsidR="00F770FD" w:rsidRPr="005650C3">
        <w:rPr>
          <w:rFonts w:ascii="Times New Roman" w:hAnsi="Times New Roman" w:cs="Times New Roman"/>
        </w:rPr>
        <w:t xml:space="preserve">the </w:t>
      </w:r>
      <w:r w:rsidR="00F770FD" w:rsidRPr="005650C3">
        <w:rPr>
          <w:rFonts w:ascii="Times New Roman" w:hAnsi="Times New Roman" w:cs="Times New Roman"/>
          <w:b/>
        </w:rPr>
        <w:t>Ministry of Family, Labour and Social Services</w:t>
      </w:r>
      <w:r w:rsidR="00F770FD" w:rsidRPr="005650C3">
        <w:rPr>
          <w:rFonts w:ascii="Times New Roman" w:hAnsi="Times New Roman" w:cs="Times New Roman"/>
        </w:rPr>
        <w:t>, particularly called ‘</w:t>
      </w:r>
      <w:r w:rsidR="00F770FD" w:rsidRPr="005650C3">
        <w:rPr>
          <w:rFonts w:ascii="Times New Roman" w:hAnsi="Times New Roman" w:cs="Times New Roman"/>
          <w:i/>
        </w:rPr>
        <w:t xml:space="preserve">Aile, Calisma ve Sosyal Hizmetler Bakanligi’, </w:t>
      </w:r>
      <w:r w:rsidR="00F770FD" w:rsidRPr="005650C3">
        <w:rPr>
          <w:rFonts w:ascii="Times New Roman" w:hAnsi="Times New Roman" w:cs="Times New Roman"/>
        </w:rPr>
        <w:t>which has its headquarters office located in Ankara, Turkey.</w:t>
      </w:r>
      <w:r w:rsidR="00563801">
        <w:rPr>
          <w:rFonts w:ascii="Times New Roman" w:eastAsia="Times New Roman" w:hAnsi="Times New Roman" w:cs="Times New Roman"/>
        </w:rPr>
        <w:t xml:space="preserve"> D</w:t>
      </w:r>
      <w:r w:rsidRPr="00D42B78">
        <w:rPr>
          <w:rFonts w:ascii="Times New Roman" w:eastAsia="Times New Roman" w:hAnsi="Times New Roman" w:cs="Times New Roman"/>
        </w:rPr>
        <w:t xml:space="preserve">ata were analyzed utilizing </w:t>
      </w:r>
      <w:r w:rsidR="0087571C">
        <w:rPr>
          <w:rFonts w:ascii="Times New Roman" w:eastAsia="Times New Roman" w:hAnsi="Times New Roman" w:cs="Times New Roman"/>
        </w:rPr>
        <w:t xml:space="preserve">text transcription of interviewees’ comments </w:t>
      </w:r>
      <w:r w:rsidR="006D06EF">
        <w:rPr>
          <w:rFonts w:ascii="Times New Roman" w:eastAsia="Times New Roman" w:hAnsi="Times New Roman" w:cs="Times New Roman"/>
        </w:rPr>
        <w:t xml:space="preserve">and also excerpts </w:t>
      </w:r>
      <w:r w:rsidR="00F205C6">
        <w:rPr>
          <w:rFonts w:ascii="Times New Roman" w:eastAsia="Times New Roman" w:hAnsi="Times New Roman" w:cs="Times New Roman"/>
        </w:rPr>
        <w:t xml:space="preserve">to answer </w:t>
      </w:r>
      <w:r w:rsidR="00FA352E">
        <w:rPr>
          <w:rFonts w:ascii="Times New Roman" w:eastAsia="Times New Roman" w:hAnsi="Times New Roman" w:cs="Times New Roman"/>
        </w:rPr>
        <w:t xml:space="preserve">the relevant research questions. </w:t>
      </w:r>
      <w:r w:rsidRPr="00D42B78">
        <w:rPr>
          <w:rFonts w:ascii="Times New Roman" w:eastAsia="Times New Roman" w:hAnsi="Times New Roman" w:cs="Times New Roman"/>
        </w:rPr>
        <w:t xml:space="preserve">The study’s findings </w:t>
      </w:r>
      <w:r w:rsidR="005F05C9">
        <w:rPr>
          <w:rFonts w:ascii="Times New Roman" w:eastAsia="Times New Roman" w:hAnsi="Times New Roman" w:cs="Times New Roman"/>
        </w:rPr>
        <w:t xml:space="preserve">revealed that </w:t>
      </w:r>
      <w:r w:rsidR="00A92314" w:rsidRPr="005650C3">
        <w:rPr>
          <w:rFonts w:ascii="Times New Roman" w:hAnsi="Times New Roman"/>
        </w:rPr>
        <w:t>in the past,</w:t>
      </w:r>
      <w:r w:rsidR="00A92314">
        <w:rPr>
          <w:rFonts w:ascii="Times New Roman" w:hAnsi="Times New Roman"/>
        </w:rPr>
        <w:t xml:space="preserve"> </w:t>
      </w:r>
      <w:r w:rsidR="00A92314" w:rsidRPr="005650C3">
        <w:rPr>
          <w:rFonts w:ascii="Times New Roman" w:hAnsi="Times New Roman" w:cs="Times New Roman"/>
          <w:lang w:val="en-GB"/>
        </w:rPr>
        <w:t>the European Union constituted a significant driving force in determining labour and employment policies</w:t>
      </w:r>
      <w:r w:rsidR="00A92314">
        <w:rPr>
          <w:rFonts w:ascii="Times New Roman" w:hAnsi="Times New Roman" w:cs="Times New Roman"/>
          <w:lang w:val="en-GB"/>
        </w:rPr>
        <w:t xml:space="preserve">, however currently, </w:t>
      </w:r>
      <w:r w:rsidR="00FB3897" w:rsidRPr="005650C3">
        <w:rPr>
          <w:rFonts w:ascii="Times New Roman" w:hAnsi="Times New Roman"/>
        </w:rPr>
        <w:t>t</w:t>
      </w:r>
      <w:r w:rsidR="00FB3897">
        <w:rPr>
          <w:rFonts w:ascii="Times New Roman" w:hAnsi="Times New Roman"/>
        </w:rPr>
        <w:t>he Union has</w:t>
      </w:r>
      <w:r w:rsidR="00FB3897" w:rsidRPr="005650C3">
        <w:rPr>
          <w:rFonts w:ascii="Times New Roman" w:hAnsi="Times New Roman"/>
        </w:rPr>
        <w:t xml:space="preserve"> ceased to be a driving force for determining employ</w:t>
      </w:r>
      <w:r w:rsidR="00FB3897">
        <w:rPr>
          <w:rFonts w:ascii="Times New Roman" w:hAnsi="Times New Roman"/>
        </w:rPr>
        <w:t xml:space="preserve">ment policy decisions in Turkey. </w:t>
      </w:r>
      <w:r w:rsidR="006F6457">
        <w:rPr>
          <w:rFonts w:ascii="Times New Roman" w:hAnsi="Times New Roman"/>
        </w:rPr>
        <w:t xml:space="preserve">The study also revealed the following: </w:t>
      </w:r>
      <w:r w:rsidR="008E382A" w:rsidRPr="005650C3">
        <w:rPr>
          <w:rFonts w:ascii="Times New Roman" w:hAnsi="Times New Roman" w:cs="Times New Roman"/>
        </w:rPr>
        <w:t>Turkey is in charge of determining her employment laws and policies and is not dependent neither is the country abiding by the stipulations contained in th</w:t>
      </w:r>
      <w:r w:rsidR="008E382A">
        <w:rPr>
          <w:rFonts w:ascii="Times New Roman" w:hAnsi="Times New Roman" w:cs="Times New Roman"/>
        </w:rPr>
        <w:t xml:space="preserve">e EU’s Gender Employment Regime and in terms of </w:t>
      </w:r>
      <w:r w:rsidR="009F040B" w:rsidRPr="005650C3">
        <w:rPr>
          <w:rFonts w:ascii="Times New Roman" w:hAnsi="Times New Roman" w:cs="Times New Roman"/>
        </w:rPr>
        <w:t xml:space="preserve">her adherence to the </w:t>
      </w:r>
      <w:r w:rsidR="009F040B">
        <w:rPr>
          <w:rFonts w:ascii="Times New Roman" w:hAnsi="Times New Roman" w:cs="Times New Roman"/>
        </w:rPr>
        <w:t>EU’s Gender Employment Regime it</w:t>
      </w:r>
      <w:r w:rsidR="009F040B" w:rsidRPr="005650C3">
        <w:rPr>
          <w:rFonts w:ascii="Times New Roman" w:hAnsi="Times New Roman" w:cs="Times New Roman"/>
        </w:rPr>
        <w:t xml:space="preserve"> </w:t>
      </w:r>
      <w:r w:rsidR="009F040B">
        <w:rPr>
          <w:rFonts w:ascii="Times New Roman" w:hAnsi="Times New Roman" w:cs="Times New Roman"/>
        </w:rPr>
        <w:t xml:space="preserve">was </w:t>
      </w:r>
      <w:r w:rsidR="009F040B" w:rsidRPr="005650C3">
        <w:rPr>
          <w:rFonts w:ascii="Times New Roman" w:hAnsi="Times New Roman" w:cs="Times New Roman"/>
        </w:rPr>
        <w:t>really low</w:t>
      </w:r>
      <w:r w:rsidR="009F040B">
        <w:rPr>
          <w:rFonts w:ascii="Times New Roman" w:hAnsi="Times New Roman" w:cs="Times New Roman"/>
        </w:rPr>
        <w:t>.</w:t>
      </w:r>
      <w:r w:rsidR="000C2B97">
        <w:rPr>
          <w:rFonts w:ascii="Times New Roman" w:hAnsi="Times New Roman" w:cs="Times New Roman"/>
        </w:rPr>
        <w:t xml:space="preserve"> In the same vein, </w:t>
      </w:r>
      <w:r w:rsidR="000C2B97" w:rsidRPr="005650C3">
        <w:rPr>
          <w:rFonts w:ascii="Times New Roman" w:hAnsi="Times New Roman"/>
        </w:rPr>
        <w:t>tradition and culture; a patriarchal society; religion and tradition; and Turkey’s adoption of the Middl</w:t>
      </w:r>
      <w:r w:rsidR="000C2B97">
        <w:rPr>
          <w:rFonts w:ascii="Times New Roman" w:hAnsi="Times New Roman"/>
        </w:rPr>
        <w:t xml:space="preserve">e Eastern cultures and beliefs were pointed as the </w:t>
      </w:r>
      <w:r w:rsidR="0086362A">
        <w:rPr>
          <w:rFonts w:ascii="Times New Roman" w:hAnsi="Times New Roman"/>
        </w:rPr>
        <w:t xml:space="preserve">causes of </w:t>
      </w:r>
      <w:r w:rsidR="00F4011B">
        <w:rPr>
          <w:rFonts w:ascii="Times New Roman" w:hAnsi="Times New Roman"/>
        </w:rPr>
        <w:t xml:space="preserve">gender inequality in Turkey’s </w:t>
      </w:r>
      <w:r w:rsidR="00D36ACE">
        <w:rPr>
          <w:rFonts w:ascii="Times New Roman" w:hAnsi="Times New Roman"/>
        </w:rPr>
        <w:t xml:space="preserve">labour force. </w:t>
      </w:r>
      <w:r w:rsidR="00154DD1">
        <w:rPr>
          <w:rFonts w:ascii="Times New Roman" w:hAnsi="Times New Roman"/>
        </w:rPr>
        <w:t xml:space="preserve">Lastly, </w:t>
      </w:r>
      <w:r w:rsidR="00F12B5D">
        <w:rPr>
          <w:rFonts w:ascii="Times New Roman" w:hAnsi="Times New Roman" w:cs="Times New Roman"/>
        </w:rPr>
        <w:t xml:space="preserve">despite </w:t>
      </w:r>
      <w:r w:rsidR="00F12B5D" w:rsidRPr="005650C3">
        <w:rPr>
          <w:rFonts w:ascii="Times New Roman" w:hAnsi="Times New Roman" w:cs="Times New Roman"/>
        </w:rPr>
        <w:t>the existence of the European Un</w:t>
      </w:r>
      <w:r w:rsidR="00750BF5">
        <w:rPr>
          <w:rFonts w:ascii="Times New Roman" w:hAnsi="Times New Roman" w:cs="Times New Roman"/>
        </w:rPr>
        <w:t xml:space="preserve">ion’s Gender Employment Regime, </w:t>
      </w:r>
      <w:r w:rsidR="00F12B5D" w:rsidRPr="005650C3">
        <w:rPr>
          <w:rFonts w:ascii="Times New Roman" w:hAnsi="Times New Roman" w:cs="Times New Roman"/>
        </w:rPr>
        <w:t>its recommendations</w:t>
      </w:r>
      <w:r w:rsidR="00F12B5D">
        <w:rPr>
          <w:rFonts w:ascii="Times New Roman" w:hAnsi="Times New Roman" w:cs="Times New Roman"/>
        </w:rPr>
        <w:t xml:space="preserve"> did not create any significant </w:t>
      </w:r>
      <w:r w:rsidR="00F12B5D" w:rsidRPr="005650C3">
        <w:rPr>
          <w:rFonts w:ascii="Times New Roman" w:hAnsi="Times New Roman" w:cs="Times New Roman"/>
        </w:rPr>
        <w:t xml:space="preserve">impact in Turkey’s employment landscape, policies or employment patterns and also the EU’s Gender Employment Regime was no longer effective in facilitating gender equality among all of </w:t>
      </w:r>
      <w:r w:rsidR="00F12B5D">
        <w:rPr>
          <w:rFonts w:ascii="Times New Roman" w:hAnsi="Times New Roman" w:cs="Times New Roman"/>
        </w:rPr>
        <w:t>EU’s</w:t>
      </w:r>
      <w:r w:rsidR="00F12B5D" w:rsidRPr="005650C3">
        <w:rPr>
          <w:rFonts w:ascii="Times New Roman" w:hAnsi="Times New Roman" w:cs="Times New Roman"/>
        </w:rPr>
        <w:t xml:space="preserve"> member nations, as the union </w:t>
      </w:r>
      <w:r w:rsidR="00F12B5D">
        <w:rPr>
          <w:rFonts w:ascii="Times New Roman" w:hAnsi="Times New Roman" w:cs="Times New Roman"/>
        </w:rPr>
        <w:t xml:space="preserve">lacked </w:t>
      </w:r>
      <w:r w:rsidR="00F12B5D" w:rsidRPr="005650C3">
        <w:rPr>
          <w:rFonts w:ascii="Times New Roman" w:hAnsi="Times New Roman" w:cs="Times New Roman"/>
        </w:rPr>
        <w:t xml:space="preserve">a mechanism </w:t>
      </w:r>
      <w:r w:rsidR="00F12B5D">
        <w:rPr>
          <w:rFonts w:ascii="Times New Roman" w:hAnsi="Times New Roman" w:cs="Times New Roman"/>
        </w:rPr>
        <w:t>of enforcing</w:t>
      </w:r>
      <w:r w:rsidR="00F12B5D" w:rsidRPr="005650C3">
        <w:rPr>
          <w:rFonts w:ascii="Times New Roman" w:hAnsi="Times New Roman" w:cs="Times New Roman"/>
        </w:rPr>
        <w:t xml:space="preserve"> compliance</w:t>
      </w:r>
      <w:r w:rsidR="00F12B5D">
        <w:rPr>
          <w:rFonts w:ascii="Times New Roman" w:hAnsi="Times New Roman" w:cs="Times New Roman"/>
        </w:rPr>
        <w:t xml:space="preserve"> among her member nations.</w:t>
      </w:r>
    </w:p>
    <w:p w14:paraId="5DD4187B" w14:textId="77777777" w:rsidR="00925288" w:rsidRDefault="00925288" w:rsidP="00925288">
      <w:pPr>
        <w:ind w:left="-567" w:right="-489"/>
        <w:jc w:val="both"/>
        <w:rPr>
          <w:rFonts w:ascii="Times New Roman" w:eastAsia="Times New Roman" w:hAnsi="Times New Roman" w:cs="Times New Roman"/>
        </w:rPr>
      </w:pPr>
    </w:p>
    <w:p w14:paraId="1526151F" w14:textId="14F27905" w:rsidR="002227C7" w:rsidRPr="002227C7" w:rsidRDefault="002227C7" w:rsidP="002227C7">
      <w:pPr>
        <w:ind w:left="-567" w:right="-489"/>
        <w:jc w:val="both"/>
        <w:rPr>
          <w:rFonts w:ascii="Times New Roman" w:hAnsi="Times New Roman" w:cs="Times New Roman"/>
          <w:b/>
        </w:rPr>
      </w:pPr>
      <w:r w:rsidRPr="00D42B78">
        <w:rPr>
          <w:rFonts w:ascii="Times New Roman" w:eastAsia="Times New Roman" w:hAnsi="Times New Roman" w:cs="Times New Roman"/>
          <w:b/>
        </w:rPr>
        <w:t>Keywords:</w:t>
      </w:r>
      <w:r w:rsidRPr="00D42B78">
        <w:rPr>
          <w:rFonts w:ascii="Times New Roman" w:eastAsia="Times New Roman" w:hAnsi="Times New Roman" w:cs="Times New Roman"/>
        </w:rPr>
        <w:t xml:space="preserve"> </w:t>
      </w:r>
      <w:r w:rsidR="00DD5F28">
        <w:rPr>
          <w:rFonts w:ascii="Times New Roman" w:eastAsia="Times New Roman" w:hAnsi="Times New Roman" w:cs="Times New Roman"/>
        </w:rPr>
        <w:t xml:space="preserve">Impact, Gender, </w:t>
      </w:r>
      <w:r w:rsidR="00FE402F">
        <w:rPr>
          <w:rFonts w:ascii="Times New Roman" w:eastAsia="Times New Roman" w:hAnsi="Times New Roman" w:cs="Times New Roman"/>
        </w:rPr>
        <w:t xml:space="preserve">Gender Employment Regime, </w:t>
      </w:r>
      <w:r w:rsidR="000A07C4">
        <w:rPr>
          <w:rFonts w:ascii="Times New Roman" w:eastAsia="Times New Roman" w:hAnsi="Times New Roman" w:cs="Times New Roman"/>
        </w:rPr>
        <w:t>European Union</w:t>
      </w:r>
      <w:r w:rsidRPr="00D42B78">
        <w:rPr>
          <w:rFonts w:ascii="Times New Roman" w:eastAsia="Times New Roman" w:hAnsi="Times New Roman" w:cs="Times New Roman"/>
        </w:rPr>
        <w:t>.</w:t>
      </w:r>
    </w:p>
    <w:p w14:paraId="0F6DB253" w14:textId="77777777" w:rsidR="002227C7" w:rsidRDefault="002227C7" w:rsidP="00CC3909">
      <w:pPr>
        <w:ind w:left="-567" w:right="-489"/>
        <w:jc w:val="both"/>
        <w:rPr>
          <w:rFonts w:ascii="Times New Roman" w:hAnsi="Times New Roman" w:cs="Times New Roman"/>
          <w:b/>
        </w:rPr>
      </w:pPr>
    </w:p>
    <w:p w14:paraId="4A8799B1" w14:textId="77777777" w:rsidR="002B1FA2" w:rsidRDefault="002B1FA2" w:rsidP="00CC3909">
      <w:pPr>
        <w:ind w:left="-567" w:right="-489"/>
        <w:jc w:val="both"/>
        <w:rPr>
          <w:rFonts w:ascii="Times New Roman" w:hAnsi="Times New Roman" w:cs="Times New Roman"/>
          <w:b/>
        </w:rPr>
      </w:pPr>
    </w:p>
    <w:p w14:paraId="4F1FEA33" w14:textId="77777777" w:rsidR="002B1FA2" w:rsidRDefault="002B1FA2" w:rsidP="00CC3909">
      <w:pPr>
        <w:ind w:left="-567" w:right="-489"/>
        <w:jc w:val="both"/>
        <w:rPr>
          <w:rFonts w:ascii="Times New Roman" w:hAnsi="Times New Roman" w:cs="Times New Roman"/>
          <w:b/>
        </w:rPr>
      </w:pPr>
    </w:p>
    <w:p w14:paraId="16688AA2" w14:textId="77777777" w:rsidR="002B1FA2" w:rsidRDefault="002B1FA2" w:rsidP="00CC3909">
      <w:pPr>
        <w:ind w:left="-567" w:right="-489"/>
        <w:jc w:val="both"/>
        <w:rPr>
          <w:rFonts w:ascii="Times New Roman" w:hAnsi="Times New Roman" w:cs="Times New Roman"/>
          <w:b/>
        </w:rPr>
      </w:pPr>
    </w:p>
    <w:p w14:paraId="5B880190" w14:textId="77777777" w:rsidR="00CE57D3" w:rsidRDefault="001E36FD" w:rsidP="002B6280">
      <w:pPr>
        <w:pStyle w:val="ListParagraph"/>
        <w:numPr>
          <w:ilvl w:val="0"/>
          <w:numId w:val="1"/>
        </w:numPr>
        <w:spacing w:line="360" w:lineRule="auto"/>
        <w:ind w:right="-489"/>
        <w:jc w:val="both"/>
        <w:rPr>
          <w:rFonts w:ascii="Times New Roman" w:hAnsi="Times New Roman" w:cs="Times New Roman"/>
          <w:b/>
        </w:rPr>
      </w:pPr>
      <w:r w:rsidRPr="00F65DF0">
        <w:rPr>
          <w:rFonts w:ascii="Times New Roman" w:hAnsi="Times New Roman" w:cs="Times New Roman"/>
          <w:b/>
        </w:rPr>
        <w:lastRenderedPageBreak/>
        <w:t>Introduction</w:t>
      </w:r>
    </w:p>
    <w:p w14:paraId="72F8D986" w14:textId="77777777" w:rsidR="001C252D" w:rsidRDefault="00CE57D3" w:rsidP="002B6280">
      <w:pPr>
        <w:spacing w:line="360" w:lineRule="auto"/>
        <w:ind w:left="-567" w:right="-489"/>
        <w:jc w:val="both"/>
        <w:rPr>
          <w:rFonts w:ascii="Times New Roman" w:hAnsi="Times New Roman" w:cs="Times New Roman"/>
          <w:b/>
        </w:rPr>
      </w:pPr>
      <w:r w:rsidRPr="00CE57D3">
        <w:rPr>
          <w:rFonts w:ascii="Times New Roman" w:hAnsi="Times New Roman" w:cs="Times New Roman"/>
        </w:rPr>
        <w:t>Gender is mostly considered as a concept that is socially created and a number of gender sociologists are of the school of thought that gender is a creation of the various social processes and not a biological process</w:t>
      </w:r>
      <w:r w:rsidRPr="005650C3">
        <w:rPr>
          <w:rStyle w:val="FootnoteReference"/>
          <w:rFonts w:ascii="Times New Roman" w:hAnsi="Times New Roman" w:cs="Times New Roman"/>
        </w:rPr>
        <w:footnoteReference w:id="1"/>
      </w:r>
      <w:r w:rsidRPr="00CE57D3">
        <w:rPr>
          <w:rFonts w:ascii="Times New Roman" w:hAnsi="Times New Roman" w:cs="Times New Roman"/>
        </w:rPr>
        <w:t>. According to these sociologists, gender could be considered as a specified pattern of behaviours, actions or identities, which are rewarded and created by parents, instructors or other figures of authority within a specified environment or place</w:t>
      </w:r>
      <w:r w:rsidRPr="005650C3">
        <w:rPr>
          <w:rStyle w:val="FootnoteReference"/>
          <w:rFonts w:ascii="Times New Roman" w:hAnsi="Times New Roman" w:cs="Times New Roman"/>
        </w:rPr>
        <w:footnoteReference w:id="2"/>
      </w:r>
      <w:r w:rsidRPr="00CE57D3">
        <w:rPr>
          <w:rFonts w:ascii="Times New Roman" w:hAnsi="Times New Roman" w:cs="Times New Roman"/>
        </w:rPr>
        <w:t>. In the same vein, another school of thought describes gender as a concept, which underlines socially created roles ascribed to men and women, and is learned, and evolves over time and is also different based on cultures. This description of gender is based on the premise that gender is the social organization of assumed sexual variations that dictates the roles and identities connected with being a male of female</w:t>
      </w:r>
      <w:r w:rsidRPr="005650C3">
        <w:rPr>
          <w:rStyle w:val="FootnoteReference"/>
          <w:rFonts w:ascii="Times New Roman" w:hAnsi="Times New Roman" w:cs="Times New Roman"/>
        </w:rPr>
        <w:footnoteReference w:id="3"/>
      </w:r>
      <w:r w:rsidRPr="00CE57D3">
        <w:rPr>
          <w:rFonts w:ascii="Times New Roman" w:hAnsi="Times New Roman" w:cs="Times New Roman"/>
        </w:rPr>
        <w:t>. According to Ertürk, gender identities are determined within a social-cultural context, and also with an economic and political environment, with various roles and responsibilities connected with being a woman or man. Ertürk further reveals that with regard to the creation of gender, there exists unequal power relationship between men and women, with the existence of male domination and female subordination in predominantly most part of the world</w:t>
      </w:r>
      <w:r w:rsidRPr="005650C3">
        <w:rPr>
          <w:rStyle w:val="FootnoteReference"/>
          <w:rFonts w:ascii="Times New Roman" w:hAnsi="Times New Roman" w:cs="Times New Roman"/>
        </w:rPr>
        <w:footnoteReference w:id="4"/>
      </w:r>
      <w:r w:rsidRPr="00CE57D3">
        <w:rPr>
          <w:rFonts w:ascii="Times New Roman" w:hAnsi="Times New Roman" w:cs="Times New Roman"/>
        </w:rPr>
        <w:t>.</w:t>
      </w:r>
    </w:p>
    <w:p w14:paraId="41978DE2" w14:textId="77777777" w:rsidR="001C252D" w:rsidRDefault="001C252D" w:rsidP="00C16EF5">
      <w:pPr>
        <w:spacing w:line="360" w:lineRule="auto"/>
        <w:ind w:left="-567" w:right="-489"/>
        <w:jc w:val="both"/>
        <w:rPr>
          <w:rFonts w:ascii="Times New Roman" w:hAnsi="Times New Roman" w:cs="Times New Roman"/>
          <w:b/>
        </w:rPr>
      </w:pPr>
    </w:p>
    <w:p w14:paraId="1A65A22D" w14:textId="77777777" w:rsidR="00AC54A6" w:rsidRDefault="001C252D" w:rsidP="00C16EF5">
      <w:pPr>
        <w:spacing w:line="360" w:lineRule="auto"/>
        <w:ind w:left="-567" w:right="-489"/>
        <w:jc w:val="both"/>
        <w:rPr>
          <w:rFonts w:ascii="Times New Roman" w:hAnsi="Times New Roman" w:cs="Times New Roman"/>
        </w:rPr>
      </w:pPr>
      <w:r w:rsidRPr="005650C3">
        <w:rPr>
          <w:rFonts w:ascii="Times New Roman" w:hAnsi="Times New Roman" w:cs="Times New Roman"/>
        </w:rPr>
        <w:t>Having provided a brief description of the concept of gender, it is important to mention at this juncture that achieving equality between men and women is considered necessary for the development and growth of societies, especially in a democratic setting.</w:t>
      </w:r>
      <w:r w:rsidRPr="005650C3">
        <w:rPr>
          <w:rStyle w:val="FootnoteReference"/>
          <w:rFonts w:ascii="Times New Roman" w:hAnsi="Times New Roman" w:cs="Times New Roman"/>
        </w:rPr>
        <w:footnoteReference w:id="5"/>
      </w:r>
      <w:r w:rsidRPr="005650C3">
        <w:rPr>
          <w:rFonts w:ascii="Times New Roman" w:hAnsi="Times New Roman" w:cs="Times New Roman"/>
        </w:rPr>
        <w:t xml:space="preserve"> However, in spite of this knowledge, the attainment of gender equality in most parts of the world has continued to pose as daunting and challenging tasks</w:t>
      </w:r>
      <w:r w:rsidRPr="005650C3">
        <w:rPr>
          <w:rStyle w:val="FootnoteReference"/>
          <w:rFonts w:ascii="Times New Roman" w:hAnsi="Times New Roman" w:cs="Times New Roman"/>
        </w:rPr>
        <w:footnoteReference w:id="6"/>
      </w:r>
      <w:r w:rsidRPr="005650C3">
        <w:rPr>
          <w:rFonts w:ascii="Times New Roman" w:hAnsi="Times New Roman" w:cs="Times New Roman"/>
        </w:rPr>
        <w:t>. Meanwhile, even though there exists no general consensus with regards to a generally acceptable definition to the concept of gender equality, the Universal Declaration of Human Rights that was promulgated by the United Nations General Assembly in France in 1948 offers a perfect example of the definition for the concept of gender equality. Therefore, according to the Article 1, which stipulates that every human is born free and equal in dignity and rights and also Article 2 that stipulates that all humans are entitled to all the rights and freedoms as stipulated in the Universal Declaration of Human Rights – the summary of these two Articles as provided in this Declaration is that every human being, irrespective of whether being a man or a woman is equal, devoid of all sorts of gender-oriented differences.</w:t>
      </w:r>
    </w:p>
    <w:p w14:paraId="74FE2899" w14:textId="77777777" w:rsidR="00AC54A6" w:rsidRDefault="00AC54A6" w:rsidP="00C16EF5">
      <w:pPr>
        <w:spacing w:line="360" w:lineRule="auto"/>
        <w:ind w:left="-567" w:right="-489"/>
        <w:jc w:val="both"/>
        <w:rPr>
          <w:rFonts w:ascii="Times New Roman" w:hAnsi="Times New Roman" w:cs="Times New Roman"/>
        </w:rPr>
      </w:pPr>
    </w:p>
    <w:p w14:paraId="1366EAA1" w14:textId="480B4FB8" w:rsidR="00AC54A6" w:rsidRDefault="00AC54A6" w:rsidP="00C16EF5">
      <w:pPr>
        <w:spacing w:line="360" w:lineRule="auto"/>
        <w:ind w:left="-567" w:right="-489"/>
        <w:jc w:val="both"/>
        <w:rPr>
          <w:rFonts w:ascii="Times New Roman" w:hAnsi="Times New Roman" w:cs="Times New Roman"/>
        </w:rPr>
      </w:pPr>
      <w:r w:rsidRPr="005650C3">
        <w:rPr>
          <w:rFonts w:ascii="Times New Roman" w:hAnsi="Times New Roman" w:cs="Times New Roman"/>
        </w:rPr>
        <w:t>Shifting attention back to an important variable in this thesis, which is the European Union, it is important to note that this Union has continually acted and funded missions aimed at the promotion and facilitation of gender equality, so as to ascertain that men and women are considered equal in the eyes of the law. This promotion of gender equality dates back to the year 1957, during which, the principle of similar pay for equal work was included in the Treaty of Rome</w:t>
      </w:r>
      <w:r w:rsidRPr="005650C3">
        <w:rPr>
          <w:rStyle w:val="FootnoteReference"/>
          <w:rFonts w:ascii="Times New Roman" w:hAnsi="Times New Roman" w:cs="Times New Roman"/>
        </w:rPr>
        <w:footnoteReference w:id="7"/>
      </w:r>
      <w:r w:rsidRPr="005650C3">
        <w:rPr>
          <w:rFonts w:ascii="Times New Roman" w:hAnsi="Times New Roman" w:cs="Times New Roman"/>
        </w:rPr>
        <w:t>. From this treaty, the European Union has made successful giant strides and progress in this issue of gender equality. The three identified predominant measures that the European Union employ in their strive to ensure gender equality include: legislation for equal treatment, gender mainstreaming and other specific measures aimed at the advancement of well-being for women</w:t>
      </w:r>
      <w:r w:rsidRPr="005650C3">
        <w:rPr>
          <w:rStyle w:val="FootnoteReference"/>
          <w:rFonts w:ascii="Times New Roman" w:hAnsi="Times New Roman" w:cs="Times New Roman"/>
        </w:rPr>
        <w:footnoteReference w:id="8"/>
      </w:r>
      <w:r w:rsidRPr="005650C3">
        <w:rPr>
          <w:rFonts w:ascii="Times New Roman" w:hAnsi="Times New Roman" w:cs="Times New Roman"/>
        </w:rPr>
        <w:t xml:space="preserve">. </w:t>
      </w:r>
    </w:p>
    <w:p w14:paraId="76ABA186" w14:textId="77777777" w:rsidR="009D1AF5" w:rsidRDefault="009D1AF5" w:rsidP="00C16EF5">
      <w:pPr>
        <w:spacing w:line="360" w:lineRule="auto"/>
        <w:ind w:left="-567" w:right="-489"/>
        <w:jc w:val="both"/>
        <w:rPr>
          <w:rFonts w:ascii="Times New Roman" w:hAnsi="Times New Roman" w:cs="Times New Roman"/>
        </w:rPr>
      </w:pPr>
    </w:p>
    <w:p w14:paraId="1342830D" w14:textId="77777777" w:rsidR="00A73DDD" w:rsidRDefault="009D1AF5" w:rsidP="00C16EF5">
      <w:pPr>
        <w:spacing w:line="360" w:lineRule="auto"/>
        <w:ind w:left="-567" w:right="-489"/>
        <w:jc w:val="both"/>
        <w:rPr>
          <w:rFonts w:ascii="Times New Roman" w:hAnsi="Times New Roman" w:cs="Times New Roman"/>
        </w:rPr>
      </w:pPr>
      <w:r>
        <w:rPr>
          <w:rFonts w:ascii="Times New Roman" w:hAnsi="Times New Roman" w:cs="Times New Roman"/>
        </w:rPr>
        <w:t>In addition,</w:t>
      </w:r>
      <w:r w:rsidR="00F37D63">
        <w:rPr>
          <w:rFonts w:ascii="Times New Roman" w:hAnsi="Times New Roman" w:cs="Times New Roman"/>
        </w:rPr>
        <w:t xml:space="preserve"> </w:t>
      </w:r>
      <w:r w:rsidR="00F37D63" w:rsidRPr="005650C3">
        <w:rPr>
          <w:rFonts w:ascii="Times New Roman" w:hAnsi="Times New Roman" w:cs="Times New Roman"/>
        </w:rPr>
        <w:t>the European Union in a bid to ensure proper maintenance of gender equality among its member nations created 35 C</w:t>
      </w:r>
      <w:r w:rsidR="005852EB">
        <w:rPr>
          <w:rFonts w:ascii="Times New Roman" w:hAnsi="Times New Roman" w:cs="Times New Roman"/>
        </w:rPr>
        <w:t>hapters of policy areas that require</w:t>
      </w:r>
      <w:r w:rsidR="00F37D63" w:rsidRPr="005650C3">
        <w:rPr>
          <w:rFonts w:ascii="Times New Roman" w:hAnsi="Times New Roman" w:cs="Times New Roman"/>
        </w:rPr>
        <w:t xml:space="preserve"> </w:t>
      </w:r>
      <w:r w:rsidR="005852EB">
        <w:rPr>
          <w:rFonts w:ascii="Times New Roman" w:hAnsi="Times New Roman" w:cs="Times New Roman"/>
        </w:rPr>
        <w:t>harmonization</w:t>
      </w:r>
      <w:r w:rsidR="00F37D63" w:rsidRPr="005650C3">
        <w:rPr>
          <w:rFonts w:ascii="Times New Roman" w:hAnsi="Times New Roman" w:cs="Times New Roman"/>
        </w:rPr>
        <w:t xml:space="preserve"> into the national laws, policies, practices and legislations of all of its member nations or nations that are seeking membership into the union</w:t>
      </w:r>
      <w:r w:rsidR="00F37D63" w:rsidRPr="005650C3">
        <w:rPr>
          <w:rStyle w:val="FootnoteReference"/>
          <w:rFonts w:ascii="Times New Roman" w:hAnsi="Times New Roman" w:cs="Times New Roman"/>
        </w:rPr>
        <w:footnoteReference w:id="9"/>
      </w:r>
      <w:r w:rsidR="00F37D63" w:rsidRPr="005650C3">
        <w:rPr>
          <w:rFonts w:ascii="Times New Roman" w:hAnsi="Times New Roman" w:cs="Times New Roman"/>
        </w:rPr>
        <w:t xml:space="preserve">.  However, out of all of the 35 Chapters of policies, Chapter 19 of the Social Policy and Employment in particular is the one that especially focuses on gender equality as it affects employment for the women in particular. </w:t>
      </w:r>
    </w:p>
    <w:p w14:paraId="12FA9F34" w14:textId="77777777" w:rsidR="00A73DDD" w:rsidRDefault="00A73DDD" w:rsidP="00C16EF5">
      <w:pPr>
        <w:spacing w:line="360" w:lineRule="auto"/>
        <w:ind w:left="-567" w:right="-489"/>
        <w:jc w:val="both"/>
        <w:rPr>
          <w:rFonts w:ascii="Times New Roman" w:hAnsi="Times New Roman" w:cs="Times New Roman"/>
        </w:rPr>
      </w:pPr>
    </w:p>
    <w:p w14:paraId="04AE8CF4" w14:textId="316CB5E1" w:rsidR="000F6FE5" w:rsidRDefault="00F37D63" w:rsidP="00C16EF5">
      <w:pPr>
        <w:spacing w:line="360" w:lineRule="auto"/>
        <w:ind w:left="-567" w:right="-489"/>
        <w:jc w:val="both"/>
        <w:rPr>
          <w:rFonts w:ascii="Times New Roman" w:hAnsi="Times New Roman" w:cs="Times New Roman"/>
        </w:rPr>
      </w:pPr>
      <w:r w:rsidRPr="005650C3">
        <w:rPr>
          <w:rFonts w:ascii="Times New Roman" w:hAnsi="Times New Roman" w:cs="Times New Roman"/>
        </w:rPr>
        <w:t>Therefore, it is based on the stipulations of Chapter 19 of this Social Policy and Employment that this research attempts to examine the degree to which Turkey's European Union (EU) processes of accession has impacted or influenced Turkey’s gender-related employment policies from the 1999 Helsinki Summit.</w:t>
      </w:r>
    </w:p>
    <w:p w14:paraId="57899FBD" w14:textId="77777777" w:rsidR="00041D79" w:rsidRDefault="00041D79" w:rsidP="00C16EF5">
      <w:pPr>
        <w:spacing w:line="360" w:lineRule="auto"/>
        <w:ind w:left="-567" w:right="-489"/>
        <w:jc w:val="both"/>
        <w:rPr>
          <w:rFonts w:ascii="Times New Roman" w:hAnsi="Times New Roman" w:cs="Times New Roman"/>
        </w:rPr>
      </w:pPr>
    </w:p>
    <w:p w14:paraId="090EACF3" w14:textId="77777777" w:rsidR="004B7399" w:rsidRDefault="004B7399" w:rsidP="004B7399">
      <w:pPr>
        <w:ind w:right="-489"/>
        <w:jc w:val="both"/>
        <w:rPr>
          <w:rFonts w:ascii="Times New Roman" w:hAnsi="Times New Roman" w:cs="Times New Roman"/>
          <w:b/>
        </w:rPr>
      </w:pPr>
    </w:p>
    <w:p w14:paraId="0C475097" w14:textId="77777777" w:rsidR="00041D79" w:rsidRPr="004B7399" w:rsidRDefault="00041D79" w:rsidP="004B7399">
      <w:pPr>
        <w:ind w:right="-489"/>
        <w:jc w:val="both"/>
        <w:rPr>
          <w:rFonts w:ascii="Times New Roman" w:hAnsi="Times New Roman" w:cs="Times New Roman"/>
          <w:b/>
        </w:rPr>
      </w:pPr>
    </w:p>
    <w:p w14:paraId="1C3EBCFD" w14:textId="046EABF1" w:rsidR="00FA29D8" w:rsidRPr="00FA29D8" w:rsidRDefault="001E36FD" w:rsidP="002B6280">
      <w:pPr>
        <w:pStyle w:val="ListParagraph"/>
        <w:numPr>
          <w:ilvl w:val="0"/>
          <w:numId w:val="1"/>
        </w:numPr>
        <w:spacing w:line="360" w:lineRule="auto"/>
        <w:ind w:right="-489"/>
        <w:jc w:val="both"/>
        <w:rPr>
          <w:rFonts w:ascii="Times New Roman" w:hAnsi="Times New Roman" w:cs="Times New Roman"/>
          <w:b/>
        </w:rPr>
      </w:pPr>
      <w:r w:rsidRPr="001E36FD">
        <w:rPr>
          <w:rFonts w:ascii="Times New Roman" w:hAnsi="Times New Roman" w:cs="Times New Roman"/>
          <w:b/>
        </w:rPr>
        <w:t>Statement</w:t>
      </w:r>
      <w:r w:rsidR="00FA29D8">
        <w:rPr>
          <w:rFonts w:ascii="Times New Roman" w:hAnsi="Times New Roman" w:cs="Times New Roman"/>
          <w:b/>
        </w:rPr>
        <w:t xml:space="preserve"> </w:t>
      </w:r>
      <w:r w:rsidR="00FA29D8" w:rsidRPr="00FA29D8">
        <w:rPr>
          <w:rFonts w:ascii="Times New Roman" w:hAnsi="Times New Roman" w:cs="Times New Roman"/>
          <w:b/>
        </w:rPr>
        <w:t>of the Problem</w:t>
      </w:r>
    </w:p>
    <w:p w14:paraId="138D0FB4" w14:textId="103A270D" w:rsidR="00D53BB0" w:rsidRDefault="00D53BB0" w:rsidP="002B6280">
      <w:pPr>
        <w:spacing w:line="360" w:lineRule="auto"/>
        <w:ind w:left="-567" w:right="-489"/>
        <w:jc w:val="both"/>
        <w:rPr>
          <w:rFonts w:ascii="Times New Roman" w:hAnsi="Times New Roman" w:cs="Times New Roman"/>
        </w:rPr>
      </w:pPr>
      <w:r w:rsidRPr="00D53BB0">
        <w:rPr>
          <w:rFonts w:ascii="Times New Roman" w:hAnsi="Times New Roman" w:cs="Times New Roman"/>
        </w:rPr>
        <w:t>Turkey as a country</w:t>
      </w:r>
      <w:r w:rsidR="00AC57C7">
        <w:rPr>
          <w:rFonts w:ascii="Times New Roman" w:hAnsi="Times New Roman" w:cs="Times New Roman"/>
        </w:rPr>
        <w:t xml:space="preserve"> is situated in two continents - </w:t>
      </w:r>
      <w:r w:rsidRPr="00D53BB0">
        <w:rPr>
          <w:rFonts w:ascii="Times New Roman" w:hAnsi="Times New Roman" w:cs="Times New Roman"/>
        </w:rPr>
        <w:t>Europe and the Middle East Asia. Meanwhile, while the country’s earlier strides of development shared more similarities with the Middle Eastern nations, the interference or influence of the European Union (EU), coupled with recent reforms in her social policy tilted more in the direction of the Southern European nations</w:t>
      </w:r>
      <w:r w:rsidRPr="005650C3">
        <w:rPr>
          <w:rStyle w:val="FootnoteReference"/>
          <w:rFonts w:ascii="Times New Roman" w:hAnsi="Times New Roman" w:cs="Times New Roman"/>
        </w:rPr>
        <w:footnoteReference w:id="10"/>
      </w:r>
      <w:r w:rsidRPr="00D53BB0">
        <w:rPr>
          <w:rFonts w:ascii="Times New Roman" w:hAnsi="Times New Roman" w:cs="Times New Roman"/>
        </w:rPr>
        <w:t>. Moving further, Turkey’s historical and cultural precedents gave women the predominant duties as mothers and homemakers. This consequently undermined women’s roles in the field of labour or employment. Hence, women in Turkey encounter immense challenges both in the processes of recruitment and social rights</w:t>
      </w:r>
      <w:r w:rsidRPr="005650C3">
        <w:rPr>
          <w:rStyle w:val="FootnoteReference"/>
          <w:rFonts w:ascii="Times New Roman" w:hAnsi="Times New Roman" w:cs="Times New Roman"/>
        </w:rPr>
        <w:footnoteReference w:id="11"/>
      </w:r>
      <w:r w:rsidRPr="00D53BB0">
        <w:rPr>
          <w:rFonts w:ascii="Times New Roman" w:hAnsi="Times New Roman" w:cs="Times New Roman"/>
        </w:rPr>
        <w:t>.</w:t>
      </w:r>
    </w:p>
    <w:p w14:paraId="09A8C832" w14:textId="77777777" w:rsidR="00D53BB0" w:rsidRDefault="00D53BB0" w:rsidP="00D53BB0">
      <w:pPr>
        <w:spacing w:line="360" w:lineRule="auto"/>
        <w:ind w:left="-567" w:right="-489"/>
        <w:jc w:val="both"/>
        <w:rPr>
          <w:rFonts w:ascii="Times New Roman" w:hAnsi="Times New Roman" w:cs="Times New Roman"/>
        </w:rPr>
      </w:pPr>
    </w:p>
    <w:p w14:paraId="6325DB9D" w14:textId="41A92106" w:rsidR="00D53BB0" w:rsidRDefault="00A80861" w:rsidP="00D53BB0">
      <w:pPr>
        <w:spacing w:line="360" w:lineRule="auto"/>
        <w:ind w:left="-567" w:right="-489"/>
        <w:jc w:val="both"/>
        <w:rPr>
          <w:rFonts w:ascii="Times New Roman" w:hAnsi="Times New Roman" w:cs="Times New Roman"/>
        </w:rPr>
      </w:pPr>
      <w:r>
        <w:rPr>
          <w:rFonts w:ascii="Times New Roman" w:hAnsi="Times New Roman" w:cs="Times New Roman"/>
        </w:rPr>
        <w:t>In lieu of this</w:t>
      </w:r>
      <w:r w:rsidR="00D53BB0" w:rsidRPr="00D53BB0">
        <w:rPr>
          <w:rFonts w:ascii="Times New Roman" w:hAnsi="Times New Roman" w:cs="Times New Roman"/>
        </w:rPr>
        <w:t xml:space="preserve">, the </w:t>
      </w:r>
      <w:r w:rsidR="00C35CAE">
        <w:rPr>
          <w:rFonts w:ascii="Times New Roman" w:hAnsi="Times New Roman" w:cs="Times New Roman"/>
        </w:rPr>
        <w:t>author de</w:t>
      </w:r>
      <w:r w:rsidR="00785A10">
        <w:rPr>
          <w:rFonts w:ascii="Times New Roman" w:hAnsi="Times New Roman" w:cs="Times New Roman"/>
        </w:rPr>
        <w:t>emed</w:t>
      </w:r>
      <w:r w:rsidR="00D53BB0" w:rsidRPr="00D53BB0">
        <w:rPr>
          <w:rFonts w:ascii="Times New Roman" w:hAnsi="Times New Roman" w:cs="Times New Roman"/>
        </w:rPr>
        <w:t xml:space="preserve"> it appropriate to examine Turkey’s current situation with regards to gender equality, while also examining the legislations and policies and other structural trans</w:t>
      </w:r>
      <w:r w:rsidR="0081658B">
        <w:rPr>
          <w:rFonts w:ascii="Times New Roman" w:hAnsi="Times New Roman" w:cs="Times New Roman"/>
        </w:rPr>
        <w:t>formation processes associated with</w:t>
      </w:r>
      <w:r w:rsidR="00D53BB0" w:rsidRPr="00D53BB0">
        <w:rPr>
          <w:rFonts w:ascii="Times New Roman" w:hAnsi="Times New Roman" w:cs="Times New Roman"/>
        </w:rPr>
        <w:t xml:space="preserve"> the role of gender in the labour market. In addition, from the researcher’s perspective, Turkey functions as a patriarchal society, which relegates women’s opinions to become subservient to men’s opinions, a situation that contradicts the stipulations of the Chapter 19 of the Social Policy and Employment Declaration, which attempts to create an environment in which everyone, irrespective of gender or sex is considered and treated as equal in the sight of the law.</w:t>
      </w:r>
    </w:p>
    <w:p w14:paraId="0E12F5CB" w14:textId="77777777" w:rsidR="00D53BB0" w:rsidRDefault="00D53BB0" w:rsidP="00D53BB0">
      <w:pPr>
        <w:spacing w:line="360" w:lineRule="auto"/>
        <w:ind w:left="-567" w:right="-489"/>
        <w:jc w:val="both"/>
        <w:rPr>
          <w:rFonts w:ascii="Times New Roman" w:hAnsi="Times New Roman" w:cs="Times New Roman"/>
        </w:rPr>
      </w:pPr>
    </w:p>
    <w:p w14:paraId="5F95F3D1" w14:textId="16B79310" w:rsidR="005A7513" w:rsidRDefault="00D53BB0" w:rsidP="005A7513">
      <w:pPr>
        <w:spacing w:line="360" w:lineRule="auto"/>
        <w:ind w:left="-567" w:right="-489"/>
        <w:jc w:val="both"/>
        <w:rPr>
          <w:rFonts w:ascii="Times New Roman" w:hAnsi="Times New Roman" w:cs="Times New Roman"/>
        </w:rPr>
      </w:pPr>
      <w:r w:rsidRPr="00D53BB0">
        <w:rPr>
          <w:rFonts w:ascii="Times New Roman" w:hAnsi="Times New Roman" w:cs="Times New Roman"/>
        </w:rPr>
        <w:t>Therefore, based on the foregoing, the goal of this thesis is to examine the impact of Turkey’s European Union accession process on its gender related employment policy from the completion of the 1999 Helsinki Summit. This suggests examining the degree to which the European Union’s gender equality regime or stipulations have influenced the attainment of gender equality in Turkey.</w:t>
      </w:r>
      <w:r w:rsidR="001D695C">
        <w:rPr>
          <w:rFonts w:ascii="Times New Roman" w:hAnsi="Times New Roman" w:cs="Times New Roman"/>
        </w:rPr>
        <w:t xml:space="preserve"> Therefore, in order to achieve some of the goals set above, below are some of the </w:t>
      </w:r>
      <w:r w:rsidR="001A6E0B">
        <w:rPr>
          <w:rFonts w:ascii="Times New Roman" w:hAnsi="Times New Roman" w:cs="Times New Roman"/>
        </w:rPr>
        <w:t xml:space="preserve">hypotheses </w:t>
      </w:r>
      <w:r w:rsidR="007140B2">
        <w:rPr>
          <w:rFonts w:ascii="Times New Roman" w:hAnsi="Times New Roman" w:cs="Times New Roman"/>
        </w:rPr>
        <w:t xml:space="preserve">that set </w:t>
      </w:r>
      <w:r w:rsidR="00A57F7A">
        <w:rPr>
          <w:rFonts w:ascii="Times New Roman" w:hAnsi="Times New Roman" w:cs="Times New Roman"/>
        </w:rPr>
        <w:t>the foundation for this research:</w:t>
      </w:r>
    </w:p>
    <w:p w14:paraId="1B919A24" w14:textId="77777777" w:rsidR="005A7513" w:rsidRDefault="005A7513" w:rsidP="005A7513">
      <w:pPr>
        <w:spacing w:line="360" w:lineRule="auto"/>
        <w:ind w:left="-567" w:right="-489"/>
        <w:jc w:val="both"/>
        <w:rPr>
          <w:rFonts w:ascii="Times New Roman" w:hAnsi="Times New Roman" w:cs="Times New Roman"/>
        </w:rPr>
      </w:pPr>
    </w:p>
    <w:p w14:paraId="0361166E" w14:textId="77777777" w:rsidR="005A7513" w:rsidRPr="005650C3" w:rsidRDefault="005A7513" w:rsidP="005A7513">
      <w:pPr>
        <w:pStyle w:val="ListParagraph"/>
        <w:numPr>
          <w:ilvl w:val="0"/>
          <w:numId w:val="3"/>
        </w:numPr>
        <w:spacing w:line="360" w:lineRule="auto"/>
        <w:ind w:right="-489"/>
        <w:jc w:val="both"/>
        <w:rPr>
          <w:rFonts w:ascii="Times New Roman" w:hAnsi="Times New Roman" w:cs="Times New Roman"/>
          <w:lang w:val="en-GB"/>
        </w:rPr>
      </w:pPr>
      <w:r w:rsidRPr="005650C3">
        <w:rPr>
          <w:rFonts w:ascii="Times New Roman" w:hAnsi="Times New Roman" w:cs="Times New Roman"/>
        </w:rPr>
        <w:t>The unequal power relations between men and women in a patriarchal socio-political and economic setting cause gender inequality in Turkey.</w:t>
      </w:r>
    </w:p>
    <w:p w14:paraId="3EA62379" w14:textId="77777777" w:rsidR="005A7513" w:rsidRPr="005650C3" w:rsidRDefault="005A7513" w:rsidP="005A7513">
      <w:pPr>
        <w:pStyle w:val="ListParagraph"/>
        <w:numPr>
          <w:ilvl w:val="0"/>
          <w:numId w:val="3"/>
        </w:numPr>
        <w:spacing w:line="360" w:lineRule="auto"/>
        <w:ind w:right="-489"/>
        <w:jc w:val="both"/>
        <w:rPr>
          <w:rFonts w:ascii="Times New Roman" w:hAnsi="Times New Roman" w:cs="Times New Roman"/>
          <w:lang w:val="en-GB"/>
        </w:rPr>
      </w:pPr>
      <w:r w:rsidRPr="005650C3">
        <w:rPr>
          <w:rFonts w:ascii="Times New Roman" w:hAnsi="Times New Roman" w:cs="Times New Roman"/>
          <w:lang w:val="en-GB"/>
        </w:rPr>
        <w:t>Turkey does not comply with the European Union’s standards for gender equality.</w:t>
      </w:r>
    </w:p>
    <w:p w14:paraId="06ABA490" w14:textId="77777777" w:rsidR="005A7513" w:rsidRPr="005650C3" w:rsidRDefault="005A7513" w:rsidP="005A7513">
      <w:pPr>
        <w:pStyle w:val="ListParagraph"/>
        <w:numPr>
          <w:ilvl w:val="0"/>
          <w:numId w:val="3"/>
        </w:numPr>
        <w:spacing w:line="360" w:lineRule="auto"/>
        <w:ind w:right="-489"/>
        <w:jc w:val="both"/>
        <w:rPr>
          <w:rFonts w:ascii="Times New Roman" w:hAnsi="Times New Roman" w:cs="Times New Roman"/>
          <w:lang w:val="en-GB"/>
        </w:rPr>
      </w:pPr>
      <w:r w:rsidRPr="005650C3">
        <w:rPr>
          <w:rFonts w:ascii="Times New Roman" w:hAnsi="Times New Roman" w:cs="Times New Roman"/>
        </w:rPr>
        <w:t xml:space="preserve">There are several impacts of the European Union’s </w:t>
      </w:r>
      <w:r w:rsidRPr="005650C3">
        <w:rPr>
          <w:rFonts w:ascii="Times New Roman" w:hAnsi="Times New Roman" w:cs="Times New Roman"/>
          <w:lang w:val="en-GB"/>
        </w:rPr>
        <w:t>Gender Equality Regime on Turkey’s employment patterns and practice.</w:t>
      </w:r>
    </w:p>
    <w:p w14:paraId="4AC25359" w14:textId="0C2DF0FC" w:rsidR="002327FC" w:rsidRPr="006112AD" w:rsidRDefault="005A7513" w:rsidP="002327FC">
      <w:pPr>
        <w:pStyle w:val="ListParagraph"/>
        <w:numPr>
          <w:ilvl w:val="0"/>
          <w:numId w:val="3"/>
        </w:numPr>
        <w:spacing w:line="360" w:lineRule="auto"/>
        <w:ind w:right="-489"/>
        <w:jc w:val="both"/>
        <w:rPr>
          <w:rFonts w:ascii="Times New Roman" w:hAnsi="Times New Roman" w:cs="Times New Roman"/>
          <w:lang w:val="en-GB"/>
        </w:rPr>
      </w:pPr>
      <w:r w:rsidRPr="005650C3">
        <w:rPr>
          <w:rFonts w:ascii="Times New Roman" w:hAnsi="Times New Roman" w:cs="Times New Roman"/>
        </w:rPr>
        <w:t xml:space="preserve">There is no effectiveness in the </w:t>
      </w:r>
      <w:r w:rsidRPr="005650C3">
        <w:rPr>
          <w:rFonts w:ascii="Times New Roman" w:hAnsi="Times New Roman" w:cs="Times New Roman"/>
          <w:lang w:val="en-GB"/>
        </w:rPr>
        <w:t>European Union’s Gender Equality Regime to achieve gender equality in member nations.</w:t>
      </w:r>
    </w:p>
    <w:p w14:paraId="6F7180EF" w14:textId="77777777" w:rsidR="002327FC" w:rsidRPr="002327FC" w:rsidRDefault="002327FC" w:rsidP="002327FC">
      <w:pPr>
        <w:ind w:right="-489"/>
        <w:jc w:val="both"/>
        <w:rPr>
          <w:rFonts w:ascii="Times New Roman" w:hAnsi="Times New Roman" w:cs="Times New Roman"/>
          <w:b/>
        </w:rPr>
      </w:pPr>
    </w:p>
    <w:p w14:paraId="65DCC0BC" w14:textId="77777777" w:rsidR="00AC5115" w:rsidRDefault="0072556C" w:rsidP="00AC5115">
      <w:pPr>
        <w:pStyle w:val="NoSpacing"/>
        <w:numPr>
          <w:ilvl w:val="0"/>
          <w:numId w:val="1"/>
        </w:numPr>
        <w:spacing w:line="360" w:lineRule="auto"/>
        <w:ind w:right="-489"/>
        <w:jc w:val="both"/>
        <w:rPr>
          <w:rFonts w:ascii="Times New Roman" w:hAnsi="Times New Roman" w:cs="Times New Roman"/>
          <w:b/>
        </w:rPr>
      </w:pPr>
      <w:r w:rsidRPr="008E3D8E">
        <w:rPr>
          <w:rFonts w:ascii="Times New Roman" w:hAnsi="Times New Roman" w:cs="Times New Roman"/>
          <w:b/>
        </w:rPr>
        <w:t>Literature Review</w:t>
      </w:r>
    </w:p>
    <w:p w14:paraId="2ECBFA7D" w14:textId="77777777" w:rsidR="004B0B41" w:rsidRDefault="00AC5115" w:rsidP="004B0B41">
      <w:pPr>
        <w:pStyle w:val="NoSpacing"/>
        <w:spacing w:line="360" w:lineRule="auto"/>
        <w:ind w:left="-567" w:right="-489"/>
        <w:jc w:val="both"/>
        <w:rPr>
          <w:rFonts w:ascii="Times New Roman" w:hAnsi="Times New Roman" w:cs="Times New Roman"/>
        </w:rPr>
      </w:pPr>
      <w:r w:rsidRPr="00AC5115">
        <w:rPr>
          <w:rFonts w:ascii="Times New Roman" w:hAnsi="Times New Roman" w:cs="Times New Roman"/>
        </w:rPr>
        <w:t>Historically, particularly from the early 1980s, women’s roles have predominantly revolved around procreation and home making as their lifetime employment. However, recently their involvement in the Turkish labour force has been increasing and they have gradually become more capable of contributing to the family budget</w:t>
      </w:r>
      <w:r w:rsidRPr="005650C3">
        <w:rPr>
          <w:rStyle w:val="FootnoteReference"/>
          <w:rFonts w:ascii="Times New Roman" w:hAnsi="Times New Roman" w:cs="Times New Roman"/>
        </w:rPr>
        <w:footnoteReference w:id="12"/>
      </w:r>
      <w:r w:rsidRPr="00AC5115">
        <w:rPr>
          <w:rFonts w:ascii="Times New Roman" w:hAnsi="Times New Roman" w:cs="Times New Roman"/>
        </w:rPr>
        <w:t xml:space="preserve">. This evolution of gender roles is considered an improvement regarding women’s societal </w:t>
      </w:r>
      <w:r w:rsidR="004B0B41">
        <w:rPr>
          <w:rFonts w:ascii="Times New Roman" w:hAnsi="Times New Roman" w:cs="Times New Roman"/>
        </w:rPr>
        <w:t>status.</w:t>
      </w:r>
    </w:p>
    <w:p w14:paraId="7D00069D" w14:textId="77777777" w:rsidR="004B0B41" w:rsidRDefault="004B0B41" w:rsidP="004B0B41">
      <w:pPr>
        <w:pStyle w:val="NoSpacing"/>
        <w:spacing w:line="360" w:lineRule="auto"/>
        <w:ind w:left="-567" w:right="-489"/>
        <w:jc w:val="both"/>
        <w:rPr>
          <w:rFonts w:ascii="Times New Roman" w:hAnsi="Times New Roman" w:cs="Times New Roman"/>
        </w:rPr>
      </w:pPr>
    </w:p>
    <w:p w14:paraId="3FABE0BC" w14:textId="77777777" w:rsidR="00511D6F" w:rsidRDefault="004B0B41" w:rsidP="00511D6F">
      <w:pPr>
        <w:pStyle w:val="NoSpacing"/>
        <w:spacing w:line="360" w:lineRule="auto"/>
        <w:ind w:left="-567" w:right="-489"/>
        <w:jc w:val="both"/>
        <w:rPr>
          <w:rFonts w:ascii="Times New Roman" w:hAnsi="Times New Roman" w:cs="Times New Roman"/>
        </w:rPr>
      </w:pPr>
      <w:r w:rsidRPr="005650C3">
        <w:rPr>
          <w:rFonts w:ascii="Times New Roman" w:hAnsi="Times New Roman" w:cs="Times New Roman"/>
        </w:rPr>
        <w:t>Turkey for a long period of time attempted to officially become a member nation of the EU</w:t>
      </w:r>
      <w:r w:rsidRPr="005650C3">
        <w:rPr>
          <w:rStyle w:val="FootnoteReference"/>
          <w:rFonts w:ascii="Times New Roman" w:hAnsi="Times New Roman" w:cs="Times New Roman"/>
        </w:rPr>
        <w:footnoteReference w:id="13"/>
      </w:r>
      <w:r w:rsidRPr="005650C3">
        <w:rPr>
          <w:rFonts w:ascii="Times New Roman" w:hAnsi="Times New Roman" w:cs="Times New Roman"/>
        </w:rPr>
        <w:t xml:space="preserve"> and consequently after her acceptance into the EU, she became bound by the considerably stronger requirements for integration and adaptation created by the Union. This meant that her conventional and traditional societal policies and structures that allowed for the existence of low rate of female employment and the widespread suppression of women’s position in the country’ labour market had to be abolished, to create way for the labour policies determined by the EU</w:t>
      </w:r>
      <w:r w:rsidRPr="005650C3">
        <w:rPr>
          <w:rStyle w:val="FootnoteReference"/>
          <w:rFonts w:ascii="Times New Roman" w:hAnsi="Times New Roman" w:cs="Times New Roman"/>
        </w:rPr>
        <w:footnoteReference w:id="14"/>
      </w:r>
      <w:r w:rsidRPr="005650C3">
        <w:rPr>
          <w:rFonts w:ascii="Times New Roman" w:hAnsi="Times New Roman" w:cs="Times New Roman"/>
        </w:rPr>
        <w:t>.</w:t>
      </w:r>
    </w:p>
    <w:p w14:paraId="125B3C73" w14:textId="77777777" w:rsidR="00511D6F" w:rsidRDefault="00511D6F" w:rsidP="00511D6F">
      <w:pPr>
        <w:pStyle w:val="NoSpacing"/>
        <w:spacing w:line="360" w:lineRule="auto"/>
        <w:ind w:left="-567" w:right="-489"/>
        <w:jc w:val="both"/>
        <w:rPr>
          <w:rFonts w:ascii="Times New Roman" w:hAnsi="Times New Roman" w:cs="Times New Roman"/>
        </w:rPr>
      </w:pPr>
    </w:p>
    <w:p w14:paraId="0500DEF6" w14:textId="77777777" w:rsidR="00265FCC" w:rsidRDefault="00511D6F" w:rsidP="00265FCC">
      <w:pPr>
        <w:pStyle w:val="NoSpacing"/>
        <w:spacing w:line="360" w:lineRule="auto"/>
        <w:ind w:left="-567" w:right="-489"/>
        <w:jc w:val="both"/>
        <w:rPr>
          <w:rFonts w:ascii="Times New Roman" w:hAnsi="Times New Roman" w:cs="Times New Roman"/>
        </w:rPr>
      </w:pPr>
      <w:r w:rsidRPr="005650C3">
        <w:rPr>
          <w:rFonts w:ascii="Times New Roman" w:hAnsi="Times New Roman" w:cs="Times New Roman"/>
        </w:rPr>
        <w:t>Moving further, from this</w:t>
      </w:r>
      <w:r>
        <w:rPr>
          <w:rFonts w:ascii="Times New Roman" w:hAnsi="Times New Roman" w:cs="Times New Roman"/>
        </w:rPr>
        <w:t xml:space="preserve"> opinion</w:t>
      </w:r>
      <w:r w:rsidRPr="005650C3">
        <w:rPr>
          <w:rFonts w:ascii="Times New Roman" w:hAnsi="Times New Roman" w:cs="Times New Roman"/>
        </w:rPr>
        <w:t xml:space="preserve"> of Turkey’s economy and labour force, it can be assumed that Turkey is still very far behind in terms of fully adapting to the policies advised and recommended by the EU. This opinion is proven by the very conservative societal order in which Turkey’s labour force has historically functioned in – a system that conditions women to merely consider themselves as mothers and home keepers, while males are made to believe that they should be the engine room or the driving force of the labour market</w:t>
      </w:r>
      <w:r w:rsidRPr="005650C3">
        <w:rPr>
          <w:rStyle w:val="FootnoteReference"/>
          <w:rFonts w:ascii="Times New Roman" w:hAnsi="Times New Roman" w:cs="Times New Roman"/>
        </w:rPr>
        <w:footnoteReference w:id="15"/>
      </w:r>
      <w:r w:rsidRPr="005650C3">
        <w:rPr>
          <w:rFonts w:ascii="Times New Roman" w:hAnsi="Times New Roman" w:cs="Times New Roman"/>
        </w:rPr>
        <w:t>. This opinion does not mean that the influence of Turkey’s membership in the EU has not been felt in any way in Turkey’s labour market. One of these influences is that the government of Turkey has introduced, with various degrees of success, different policies, laws and bylaws about gender equality, as it affects employment in the nation’s labour market</w:t>
      </w:r>
      <w:r w:rsidRPr="005650C3">
        <w:rPr>
          <w:rStyle w:val="FootnoteReference"/>
          <w:rFonts w:ascii="Times New Roman" w:hAnsi="Times New Roman" w:cs="Times New Roman"/>
        </w:rPr>
        <w:footnoteReference w:id="16"/>
      </w:r>
      <w:r w:rsidR="00265FCC">
        <w:rPr>
          <w:rFonts w:ascii="Times New Roman" w:hAnsi="Times New Roman" w:cs="Times New Roman"/>
        </w:rPr>
        <w:t>.</w:t>
      </w:r>
    </w:p>
    <w:p w14:paraId="0C9E3D13" w14:textId="77777777" w:rsidR="00265FCC" w:rsidRDefault="00265FCC" w:rsidP="00265FCC">
      <w:pPr>
        <w:pStyle w:val="NoSpacing"/>
        <w:spacing w:line="360" w:lineRule="auto"/>
        <w:ind w:left="-567" w:right="-489"/>
        <w:jc w:val="both"/>
        <w:rPr>
          <w:rFonts w:ascii="Times New Roman" w:hAnsi="Times New Roman" w:cs="Times New Roman"/>
        </w:rPr>
      </w:pPr>
    </w:p>
    <w:p w14:paraId="1FD709C0" w14:textId="77777777" w:rsidR="00265FCC" w:rsidRDefault="00265FCC" w:rsidP="00265FCC">
      <w:pPr>
        <w:pStyle w:val="NoSpacing"/>
        <w:spacing w:line="360" w:lineRule="auto"/>
        <w:ind w:left="-567" w:right="-489"/>
        <w:jc w:val="both"/>
        <w:rPr>
          <w:rFonts w:ascii="Times New Roman" w:hAnsi="Times New Roman" w:cs="Times New Roman"/>
        </w:rPr>
      </w:pPr>
      <w:r w:rsidRPr="005650C3">
        <w:rPr>
          <w:rFonts w:ascii="Times New Roman" w:hAnsi="Times New Roman" w:cs="Times New Roman"/>
        </w:rPr>
        <w:t>In furtherance, before discussing gender equality in Turkey prior to the Helsinki Summit of 1999,</w:t>
      </w:r>
      <w:r w:rsidRPr="005650C3">
        <w:rPr>
          <w:rStyle w:val="FootnoteReference"/>
          <w:rFonts w:ascii="Times New Roman" w:hAnsi="Times New Roman" w:cs="Times New Roman"/>
        </w:rPr>
        <w:footnoteReference w:id="17"/>
      </w:r>
      <w:r w:rsidRPr="005650C3">
        <w:rPr>
          <w:rFonts w:ascii="Times New Roman" w:hAnsi="Times New Roman" w:cs="Times New Roman"/>
        </w:rPr>
        <w:t xml:space="preserve"> it is necessary to discuss the relatively recent political situation in Turkey and its influence on gender equality in Turkey’s labour sector. Recently, a political party known as the “Justice and Development Party (</w:t>
      </w:r>
      <w:r w:rsidRPr="005650C3">
        <w:rPr>
          <w:rFonts w:ascii="Times New Roman" w:hAnsi="Times New Roman" w:cs="Times New Roman"/>
          <w:i/>
          <w:iCs/>
        </w:rPr>
        <w:t>Adalet ve Kalkinma Partisi</w:t>
      </w:r>
      <w:r w:rsidRPr="005650C3">
        <w:rPr>
          <w:rFonts w:ascii="Times New Roman" w:hAnsi="Times New Roman" w:cs="Times New Roman"/>
        </w:rPr>
        <w:t>, AKP)” gained a higher percentage of the country’s votes, rising from 34.26% to 46.58% in the year 2007, then to 49.9% in year 2011’s national elections, therefore confirming the party’s position within the Turkish political society</w:t>
      </w:r>
      <w:r w:rsidRPr="005650C3">
        <w:rPr>
          <w:rStyle w:val="FootnoteReference"/>
          <w:rFonts w:ascii="Times New Roman" w:hAnsi="Times New Roman" w:cs="Times New Roman"/>
        </w:rPr>
        <w:footnoteReference w:id="18"/>
      </w:r>
      <w:r w:rsidRPr="005650C3">
        <w:rPr>
          <w:rFonts w:ascii="Times New Roman" w:hAnsi="Times New Roman" w:cs="Times New Roman"/>
        </w:rPr>
        <w:t>.</w:t>
      </w:r>
    </w:p>
    <w:p w14:paraId="1DDBD79A" w14:textId="77777777" w:rsidR="00265FCC" w:rsidRDefault="00265FCC" w:rsidP="00265FCC">
      <w:pPr>
        <w:pStyle w:val="NoSpacing"/>
        <w:spacing w:line="360" w:lineRule="auto"/>
        <w:ind w:left="-567" w:right="-489"/>
        <w:jc w:val="both"/>
        <w:rPr>
          <w:rFonts w:ascii="Times New Roman" w:hAnsi="Times New Roman" w:cs="Times New Roman"/>
        </w:rPr>
      </w:pPr>
    </w:p>
    <w:p w14:paraId="2ACBECA9" w14:textId="179DDAB4" w:rsidR="00265FCC" w:rsidRDefault="00265FCC" w:rsidP="00265FCC">
      <w:pPr>
        <w:pStyle w:val="NoSpacing"/>
        <w:spacing w:line="360" w:lineRule="auto"/>
        <w:ind w:left="-567" w:right="-489"/>
        <w:jc w:val="both"/>
        <w:rPr>
          <w:rFonts w:ascii="Times New Roman" w:hAnsi="Times New Roman" w:cs="Times New Roman"/>
        </w:rPr>
      </w:pPr>
      <w:r w:rsidRPr="005650C3">
        <w:rPr>
          <w:rFonts w:ascii="Times New Roman" w:hAnsi="Times New Roman" w:cs="Times New Roman"/>
        </w:rPr>
        <w:t>With this development of a new government controlled by the Justice and Development Party, coupled with the party’s strong Islamic origins, it became increasingly obvious that the party began to foist its Islamic beliefs into the general public. This became even more obvious during the party’s second tenure in government when Turkey’s foreign policy experienced a drastic turn and tilted more in the direction of the East than the direction of the West, where the EU is a strong front liner. To some extent, there is a wide belief that the Justice and Development Party to certain extent, shifted away from the recommendations of the EU, and has some how recreated the gendered division of labour, while also re-emphasizing women’s dominance in the home front and not in the labour sector</w:t>
      </w:r>
      <w:r w:rsidRPr="005650C3">
        <w:rPr>
          <w:rStyle w:val="FootnoteReference"/>
          <w:rFonts w:ascii="Times New Roman" w:hAnsi="Times New Roman" w:cs="Times New Roman"/>
        </w:rPr>
        <w:footnoteReference w:id="19"/>
      </w:r>
      <w:r w:rsidRPr="005650C3">
        <w:rPr>
          <w:rFonts w:ascii="Times New Roman" w:hAnsi="Times New Roman" w:cs="Times New Roman"/>
        </w:rPr>
        <w:t>.</w:t>
      </w:r>
    </w:p>
    <w:p w14:paraId="24A5842D" w14:textId="77777777" w:rsidR="00F95A93" w:rsidRDefault="00F95A93" w:rsidP="00265FCC">
      <w:pPr>
        <w:pStyle w:val="NoSpacing"/>
        <w:spacing w:line="360" w:lineRule="auto"/>
        <w:ind w:left="-567" w:right="-489"/>
        <w:jc w:val="both"/>
        <w:rPr>
          <w:rFonts w:ascii="Times New Roman" w:hAnsi="Times New Roman" w:cs="Times New Roman"/>
        </w:rPr>
      </w:pPr>
    </w:p>
    <w:p w14:paraId="7CCC6752" w14:textId="77777777" w:rsidR="00F95A93" w:rsidRDefault="00F95A93" w:rsidP="00265FCC">
      <w:pPr>
        <w:pStyle w:val="NoSpacing"/>
        <w:spacing w:line="360" w:lineRule="auto"/>
        <w:ind w:left="-567" w:right="-489"/>
        <w:jc w:val="both"/>
        <w:rPr>
          <w:rFonts w:ascii="Times New Roman" w:hAnsi="Times New Roman" w:cs="Times New Roman"/>
        </w:rPr>
      </w:pPr>
    </w:p>
    <w:p w14:paraId="381FC6D6" w14:textId="77777777" w:rsidR="00A50F4E" w:rsidRPr="005650C3" w:rsidRDefault="00A50F4E" w:rsidP="00265FCC">
      <w:pPr>
        <w:pStyle w:val="NoSpacing"/>
        <w:spacing w:line="360" w:lineRule="auto"/>
        <w:ind w:left="-567" w:right="-489"/>
        <w:jc w:val="both"/>
        <w:rPr>
          <w:rFonts w:ascii="Times New Roman" w:hAnsi="Times New Roman" w:cs="Times New Roman"/>
        </w:rPr>
      </w:pPr>
    </w:p>
    <w:p w14:paraId="5587E7C2" w14:textId="471245C2" w:rsidR="00CD6955" w:rsidRPr="005650C3" w:rsidRDefault="00834BDC" w:rsidP="00CD6955">
      <w:pPr>
        <w:pStyle w:val="ListParagraph"/>
        <w:widowControl w:val="0"/>
        <w:numPr>
          <w:ilvl w:val="0"/>
          <w:numId w:val="4"/>
        </w:numPr>
        <w:autoSpaceDE w:val="0"/>
        <w:autoSpaceDN w:val="0"/>
        <w:adjustRightInd w:val="0"/>
        <w:spacing w:after="240"/>
        <w:ind w:right="-489"/>
        <w:jc w:val="both"/>
        <w:rPr>
          <w:rFonts w:ascii="Times New Roman" w:hAnsi="Times New Roman" w:cs="Times New Roman"/>
          <w:b/>
        </w:rPr>
      </w:pPr>
      <w:r>
        <w:rPr>
          <w:rFonts w:ascii="Times New Roman" w:hAnsi="Times New Roman" w:cs="Times New Roman"/>
          <w:b/>
        </w:rPr>
        <w:t>Gender E</w:t>
      </w:r>
      <w:r w:rsidR="00CD6955" w:rsidRPr="005650C3">
        <w:rPr>
          <w:rFonts w:ascii="Times New Roman" w:hAnsi="Times New Roman" w:cs="Times New Roman"/>
          <w:b/>
        </w:rPr>
        <w:t>quality in Turkey prior to the Helsinki Summit of 1999</w:t>
      </w:r>
    </w:p>
    <w:p w14:paraId="6ABD94A6" w14:textId="77777777" w:rsidR="00F95A93" w:rsidRPr="00F95A93" w:rsidRDefault="00F95A93" w:rsidP="00F95A93">
      <w:pPr>
        <w:widowControl w:val="0"/>
        <w:autoSpaceDE w:val="0"/>
        <w:autoSpaceDN w:val="0"/>
        <w:adjustRightInd w:val="0"/>
        <w:spacing w:after="240" w:line="360" w:lineRule="auto"/>
        <w:ind w:left="-426" w:right="-489"/>
        <w:jc w:val="both"/>
        <w:rPr>
          <w:rFonts w:ascii="Times New Roman" w:hAnsi="Times New Roman" w:cs="Times New Roman"/>
        </w:rPr>
      </w:pPr>
      <w:r w:rsidRPr="00F95A93">
        <w:rPr>
          <w:rFonts w:ascii="Times New Roman" w:hAnsi="Times New Roman" w:cs="Times New Roman"/>
        </w:rPr>
        <w:t xml:space="preserve">There is no doubt that Turkey’s EU candidacy has registered significant influence on the nation’s approach to gender equality in the labour force, especially in the aspects of getting more women involved in the country’s economic activities. However, in spite of this, it is necessary to discuss the nation’s gender policy with regards to the employment of women before the country’s EU candidacy. This discussion is important as it casts a spotlight on the changes that have occurred as a result of the EU’s influence. </w:t>
      </w:r>
    </w:p>
    <w:p w14:paraId="5445F8EA" w14:textId="77777777" w:rsidR="009D0D28" w:rsidRPr="005650C3" w:rsidRDefault="009D0D28" w:rsidP="009D0D28">
      <w:pPr>
        <w:widowControl w:val="0"/>
        <w:autoSpaceDE w:val="0"/>
        <w:autoSpaceDN w:val="0"/>
        <w:adjustRightInd w:val="0"/>
        <w:spacing w:after="240" w:line="360" w:lineRule="auto"/>
        <w:ind w:left="-426" w:right="-489"/>
        <w:jc w:val="both"/>
        <w:rPr>
          <w:rFonts w:ascii="Times New Roman" w:hAnsi="Times New Roman" w:cs="Times New Roman"/>
        </w:rPr>
      </w:pPr>
      <w:r w:rsidRPr="005650C3">
        <w:rPr>
          <w:rFonts w:ascii="Times New Roman" w:hAnsi="Times New Roman" w:cs="Times New Roman"/>
        </w:rPr>
        <w:t>Generally, women were employed as staff in either the service industry or as civil servants in the public sector. However, in reality, women were predominantly employed as either low or mid tier staff and rarely employed at the top management positions. This suggested that women were largely absent from becoming top ranking officials in either the public or private sectors.</w:t>
      </w:r>
      <w:r w:rsidRPr="005650C3">
        <w:rPr>
          <w:rStyle w:val="FootnoteReference"/>
          <w:rFonts w:ascii="Times New Roman" w:hAnsi="Times New Roman" w:cs="Times New Roman"/>
        </w:rPr>
        <w:footnoteReference w:id="20"/>
      </w:r>
      <w:r w:rsidRPr="005650C3">
        <w:rPr>
          <w:rFonts w:ascii="Times New Roman" w:hAnsi="Times New Roman" w:cs="Times New Roman"/>
        </w:rPr>
        <w:t xml:space="preserve"> Additionally, women were also employed in the industrial sector of the labour force, but as is the case in both the service and public sectors, women were employed in the least lucrative jobs, especially in the textile industries</w:t>
      </w:r>
      <w:r w:rsidRPr="005650C3">
        <w:rPr>
          <w:rStyle w:val="FootnoteReference"/>
          <w:rFonts w:ascii="Times New Roman" w:hAnsi="Times New Roman" w:cs="Times New Roman"/>
        </w:rPr>
        <w:footnoteReference w:id="21"/>
      </w:r>
      <w:r w:rsidRPr="005650C3">
        <w:rPr>
          <w:rFonts w:ascii="Times New Roman" w:hAnsi="Times New Roman" w:cs="Times New Roman"/>
        </w:rPr>
        <w:t>.</w:t>
      </w:r>
    </w:p>
    <w:p w14:paraId="06C47DBF" w14:textId="77777777" w:rsidR="009C7355" w:rsidRDefault="009D0D28" w:rsidP="009C7355">
      <w:pPr>
        <w:widowControl w:val="0"/>
        <w:autoSpaceDE w:val="0"/>
        <w:autoSpaceDN w:val="0"/>
        <w:adjustRightInd w:val="0"/>
        <w:spacing w:after="240" w:line="360" w:lineRule="auto"/>
        <w:ind w:left="-426" w:right="-489"/>
        <w:jc w:val="both"/>
        <w:rPr>
          <w:rFonts w:ascii="Times New Roman" w:hAnsi="Times New Roman" w:cs="Times New Roman"/>
        </w:rPr>
      </w:pPr>
      <w:r w:rsidRPr="005650C3">
        <w:rPr>
          <w:rFonts w:ascii="Times New Roman" w:hAnsi="Times New Roman" w:cs="Times New Roman"/>
        </w:rPr>
        <w:t>In summary, Turkish’s labour force policies that existed before the Helsinki Summit predominantly maximized the roles and responsibilities of women in the homes and on the domestic scene</w:t>
      </w:r>
      <w:r w:rsidRPr="005650C3">
        <w:rPr>
          <w:rStyle w:val="FootnoteReference"/>
          <w:rFonts w:ascii="Times New Roman" w:hAnsi="Times New Roman" w:cs="Times New Roman"/>
        </w:rPr>
        <w:footnoteReference w:id="22"/>
      </w:r>
      <w:r w:rsidRPr="005650C3">
        <w:rPr>
          <w:rFonts w:ascii="Times New Roman" w:hAnsi="Times New Roman" w:cs="Times New Roman"/>
        </w:rPr>
        <w:t>. Turkey’s gender related employment policies, prior to Turkey’s formal European Union candidacy, could be described as being patriarchal in nature and positioned men to be more at the top, while the women were basically considered as second fiddle. This was far away from the standard that existed and was propagated by the European Union.</w:t>
      </w:r>
    </w:p>
    <w:p w14:paraId="0AFE0FE2" w14:textId="4FB41489" w:rsidR="00995509" w:rsidRPr="00995509" w:rsidRDefault="00834BDC" w:rsidP="00995509">
      <w:pPr>
        <w:pStyle w:val="NoSpacing"/>
        <w:spacing w:line="360" w:lineRule="auto"/>
        <w:ind w:left="-426" w:right="-489"/>
        <w:jc w:val="both"/>
        <w:rPr>
          <w:rFonts w:ascii="Times New Roman" w:hAnsi="Times New Roman" w:cs="Times New Roman"/>
          <w:b/>
        </w:rPr>
      </w:pPr>
      <w:r w:rsidRPr="00995509">
        <w:rPr>
          <w:rFonts w:ascii="Times New Roman" w:hAnsi="Times New Roman" w:cs="Times New Roman"/>
          <w:b/>
        </w:rPr>
        <w:t xml:space="preserve">Gender Equality in </w:t>
      </w:r>
      <w:r w:rsidR="009C7355" w:rsidRPr="00995509">
        <w:rPr>
          <w:rFonts w:ascii="Times New Roman" w:hAnsi="Times New Roman" w:cs="Times New Roman"/>
          <w:b/>
        </w:rPr>
        <w:t>Turkey from 2011 till date</w:t>
      </w:r>
    </w:p>
    <w:p w14:paraId="4A84B7E4" w14:textId="71479B98" w:rsidR="00995509" w:rsidRPr="00995509" w:rsidRDefault="00963242" w:rsidP="0076480D">
      <w:pPr>
        <w:pStyle w:val="NoSpacing"/>
        <w:spacing w:line="360" w:lineRule="auto"/>
        <w:ind w:left="-426" w:right="-489"/>
        <w:jc w:val="both"/>
        <w:rPr>
          <w:rFonts w:ascii="Times New Roman" w:hAnsi="Times New Roman" w:cs="Times New Roman"/>
        </w:rPr>
      </w:pPr>
      <w:r w:rsidRPr="00995509">
        <w:rPr>
          <w:rFonts w:ascii="Times New Roman" w:hAnsi="Times New Roman" w:cs="Times New Roman"/>
        </w:rPr>
        <w:t xml:space="preserve">This </w:t>
      </w:r>
      <w:r w:rsidR="0067585B" w:rsidRPr="00995509">
        <w:rPr>
          <w:rFonts w:ascii="Times New Roman" w:hAnsi="Times New Roman" w:cs="Times New Roman"/>
        </w:rPr>
        <w:t xml:space="preserve">era </w:t>
      </w:r>
      <w:r w:rsidRPr="00995509">
        <w:rPr>
          <w:rFonts w:ascii="Times New Roman" w:hAnsi="Times New Roman" w:cs="Times New Roman"/>
        </w:rPr>
        <w:t>encountered top government functionaries from Turkey expressing their long-held anger and frustration with the so-called double standards in which the European Union deals with Turkey. In the course of the expression of their frustrations, they also expressed their indifference or in some instance, their desire to abandoning their candidacy or membership of the EU. One of these instances is erstwhile Justice Minister Sadullah Ergin who expressed the possibility of the EU declining Turkey’s membership even in instances where Turkey had met with all of the requirements. At this point, the Minister expressed indifference even if EU took away Turkey’s candidacy or membership of the EU.</w:t>
      </w:r>
    </w:p>
    <w:p w14:paraId="2DD76B52" w14:textId="034975AF" w:rsidR="006112AD" w:rsidRPr="00865902" w:rsidRDefault="00963242" w:rsidP="00865902">
      <w:pPr>
        <w:widowControl w:val="0"/>
        <w:autoSpaceDE w:val="0"/>
        <w:autoSpaceDN w:val="0"/>
        <w:adjustRightInd w:val="0"/>
        <w:spacing w:after="240" w:line="360" w:lineRule="auto"/>
        <w:ind w:left="-426" w:right="-489"/>
        <w:jc w:val="both"/>
        <w:rPr>
          <w:rFonts w:ascii="Times New Roman" w:hAnsi="Times New Roman" w:cs="Times New Roman"/>
        </w:rPr>
      </w:pPr>
      <w:r w:rsidRPr="004D0204">
        <w:rPr>
          <w:rFonts w:ascii="Times New Roman" w:hAnsi="Times New Roman" w:cs="Times New Roman"/>
        </w:rPr>
        <w:t xml:space="preserve">In </w:t>
      </w:r>
      <w:r w:rsidR="004D0204">
        <w:rPr>
          <w:rFonts w:ascii="Times New Roman" w:hAnsi="Times New Roman" w:cs="Times New Roman"/>
        </w:rPr>
        <w:t xml:space="preserve">addition, </w:t>
      </w:r>
      <w:r w:rsidRPr="004D0204">
        <w:rPr>
          <w:rFonts w:ascii="Times New Roman" w:hAnsi="Times New Roman" w:cs="Times New Roman"/>
        </w:rPr>
        <w:t>during this period, Turkey began to utilize the term ‘gender justice’ rather than gender equality</w:t>
      </w:r>
      <w:r w:rsidRPr="005650C3">
        <w:rPr>
          <w:rStyle w:val="FootnoteReference"/>
          <w:rFonts w:ascii="Times New Roman" w:hAnsi="Times New Roman" w:cs="Times New Roman"/>
        </w:rPr>
        <w:footnoteReference w:id="23"/>
      </w:r>
      <w:r w:rsidRPr="004D0204">
        <w:rPr>
          <w:rFonts w:ascii="Times New Roman" w:hAnsi="Times New Roman" w:cs="Times New Roman"/>
        </w:rPr>
        <w:t>. In this concept of ‘gender justice’, gender equality emphasized on the equality between two sexes, while on the other hand, gender justice cast its focus on ‘various features of males and females that are naturally determined. In this scenario, based on the political discourse being propagated by the Turkish government, women and men were described as possessing natural differences that naturally dictate their various roles and responsibilities – which is provision for the family by the men and caring for the children and then for the homes for women. The implication for this is that the government of Turkey normalized the ‘natural division of responsibilities dictated via the biological differences that directly negates the tenets of gender equality. This ideology of differences between males and females and their responsibilities sparked the reason that Turkey began to shift from the European Union’s principles and tenets of gender equality.</w:t>
      </w:r>
    </w:p>
    <w:p w14:paraId="60EB16ED" w14:textId="0341C4E7" w:rsidR="0072556C" w:rsidRDefault="000F5243" w:rsidP="00B858B8">
      <w:pPr>
        <w:pStyle w:val="ListParagraph"/>
        <w:numPr>
          <w:ilvl w:val="0"/>
          <w:numId w:val="1"/>
        </w:numPr>
        <w:spacing w:line="360" w:lineRule="auto"/>
        <w:ind w:right="-489"/>
        <w:jc w:val="both"/>
        <w:rPr>
          <w:rFonts w:ascii="Times New Roman" w:hAnsi="Times New Roman" w:cs="Times New Roman"/>
          <w:b/>
        </w:rPr>
      </w:pPr>
      <w:r>
        <w:rPr>
          <w:rFonts w:ascii="Times New Roman" w:hAnsi="Times New Roman" w:cs="Times New Roman"/>
          <w:b/>
        </w:rPr>
        <w:t>Research Methodology</w:t>
      </w:r>
    </w:p>
    <w:p w14:paraId="67B742D5" w14:textId="77777777" w:rsidR="00BF7D00" w:rsidRDefault="00B858B8" w:rsidP="00BF7D00">
      <w:pPr>
        <w:pStyle w:val="NoSpacing"/>
        <w:spacing w:line="360" w:lineRule="auto"/>
        <w:ind w:left="-567" w:right="-489"/>
        <w:jc w:val="both"/>
        <w:rPr>
          <w:rFonts w:ascii="Times New Roman" w:hAnsi="Times New Roman" w:cs="Times New Roman"/>
        </w:rPr>
      </w:pPr>
      <w:r>
        <w:rPr>
          <w:rFonts w:ascii="Times New Roman" w:hAnsi="Times New Roman" w:cs="Times New Roman"/>
        </w:rPr>
        <w:t>T</w:t>
      </w:r>
      <w:r w:rsidRPr="00E23573">
        <w:rPr>
          <w:rFonts w:ascii="Times New Roman" w:hAnsi="Times New Roman" w:cs="Times New Roman"/>
        </w:rPr>
        <w:t xml:space="preserve">he qualitative </w:t>
      </w:r>
      <w:r w:rsidR="009A383F">
        <w:rPr>
          <w:rFonts w:ascii="Times New Roman" w:hAnsi="Times New Roman" w:cs="Times New Roman"/>
        </w:rPr>
        <w:t xml:space="preserve">research </w:t>
      </w:r>
      <w:r w:rsidRPr="00E23573">
        <w:rPr>
          <w:rFonts w:ascii="Times New Roman" w:hAnsi="Times New Roman" w:cs="Times New Roman"/>
        </w:rPr>
        <w:t>me</w:t>
      </w:r>
      <w:r>
        <w:rPr>
          <w:rFonts w:ascii="Times New Roman" w:hAnsi="Times New Roman" w:cs="Times New Roman"/>
        </w:rPr>
        <w:t>thod</w:t>
      </w:r>
      <w:r w:rsidR="009A383F">
        <w:rPr>
          <w:rFonts w:ascii="Times New Roman" w:hAnsi="Times New Roman" w:cs="Times New Roman"/>
        </w:rPr>
        <w:t>ology</w:t>
      </w:r>
      <w:r>
        <w:rPr>
          <w:rFonts w:ascii="Times New Roman" w:hAnsi="Times New Roman" w:cs="Times New Roman"/>
        </w:rPr>
        <w:t xml:space="preserve"> was </w:t>
      </w:r>
      <w:r w:rsidR="00EF25C9">
        <w:rPr>
          <w:rFonts w:ascii="Times New Roman" w:hAnsi="Times New Roman" w:cs="Times New Roman"/>
        </w:rPr>
        <w:t xml:space="preserve">deployed for this research, which also entailed using the </w:t>
      </w:r>
      <w:r w:rsidRPr="00E23573">
        <w:rPr>
          <w:rFonts w:ascii="Times New Roman" w:hAnsi="Times New Roman" w:cs="Times New Roman"/>
        </w:rPr>
        <w:t xml:space="preserve">primary means of data </w:t>
      </w:r>
      <w:r w:rsidR="00EF25C9">
        <w:rPr>
          <w:rFonts w:ascii="Times New Roman" w:hAnsi="Times New Roman" w:cs="Times New Roman"/>
        </w:rPr>
        <w:t xml:space="preserve">gathering through </w:t>
      </w:r>
      <w:r w:rsidRPr="00E23573">
        <w:rPr>
          <w:rFonts w:ascii="Times New Roman" w:hAnsi="Times New Roman" w:cs="Times New Roman"/>
        </w:rPr>
        <w:t xml:space="preserve">in-depth </w:t>
      </w:r>
      <w:r w:rsidR="00EF25C9">
        <w:rPr>
          <w:rFonts w:ascii="Times New Roman" w:hAnsi="Times New Roman" w:cs="Times New Roman"/>
        </w:rPr>
        <w:t xml:space="preserve">face-to-face </w:t>
      </w:r>
      <w:r w:rsidRPr="00E23573">
        <w:rPr>
          <w:rFonts w:ascii="Times New Roman" w:hAnsi="Times New Roman" w:cs="Times New Roman"/>
        </w:rPr>
        <w:t xml:space="preserve">interviews on </w:t>
      </w:r>
      <w:r w:rsidR="001F587F">
        <w:rPr>
          <w:rFonts w:ascii="Times New Roman" w:hAnsi="Times New Roman" w:cs="Times New Roman"/>
        </w:rPr>
        <w:t>interviewees purposively</w:t>
      </w:r>
      <w:r w:rsidRPr="00E23573">
        <w:rPr>
          <w:rFonts w:ascii="Times New Roman" w:hAnsi="Times New Roman" w:cs="Times New Roman"/>
        </w:rPr>
        <w:t xml:space="preserve"> </w:t>
      </w:r>
      <w:r w:rsidR="001F587F">
        <w:rPr>
          <w:rFonts w:ascii="Times New Roman" w:hAnsi="Times New Roman" w:cs="Times New Roman"/>
        </w:rPr>
        <w:t xml:space="preserve">chosen </w:t>
      </w:r>
      <w:r w:rsidRPr="00E23573">
        <w:rPr>
          <w:rFonts w:ascii="Times New Roman" w:hAnsi="Times New Roman" w:cs="Times New Roman"/>
        </w:rPr>
        <w:t xml:space="preserve">for this </w:t>
      </w:r>
      <w:r w:rsidR="001F587F">
        <w:rPr>
          <w:rFonts w:ascii="Times New Roman" w:hAnsi="Times New Roman" w:cs="Times New Roman"/>
        </w:rPr>
        <w:t xml:space="preserve">study. </w:t>
      </w:r>
      <w:r w:rsidR="00360304">
        <w:rPr>
          <w:rFonts w:ascii="Times New Roman" w:hAnsi="Times New Roman" w:cs="Times New Roman"/>
        </w:rPr>
        <w:t>This study’s interviewees comprised of 10</w:t>
      </w:r>
      <w:r>
        <w:rPr>
          <w:rFonts w:ascii="Times New Roman" w:hAnsi="Times New Roman" w:cs="Times New Roman"/>
        </w:rPr>
        <w:t xml:space="preserve"> </w:t>
      </w:r>
      <w:r w:rsidR="00A22415">
        <w:rPr>
          <w:rFonts w:ascii="Times New Roman" w:hAnsi="Times New Roman" w:cs="Times New Roman"/>
        </w:rPr>
        <w:t>Turkish citizens – 5 males and 5 females in order to ensure gender equity.</w:t>
      </w:r>
      <w:r w:rsidR="006068CB">
        <w:rPr>
          <w:rFonts w:ascii="Times New Roman" w:hAnsi="Times New Roman" w:cs="Times New Roman"/>
        </w:rPr>
        <w:t xml:space="preserve"> All of the 10 interviewees </w:t>
      </w:r>
      <w:r w:rsidR="00354DA7">
        <w:rPr>
          <w:rFonts w:ascii="Times New Roman" w:hAnsi="Times New Roman" w:cs="Times New Roman"/>
        </w:rPr>
        <w:t xml:space="preserve">were also </w:t>
      </w:r>
      <w:r w:rsidR="005B28A5">
        <w:rPr>
          <w:rFonts w:ascii="Times New Roman" w:hAnsi="Times New Roman" w:cs="Times New Roman"/>
        </w:rPr>
        <w:t xml:space="preserve">workers at the </w:t>
      </w:r>
      <w:r w:rsidR="005B28A5" w:rsidRPr="005650C3">
        <w:rPr>
          <w:rFonts w:ascii="Times New Roman" w:hAnsi="Times New Roman" w:cs="Times New Roman"/>
          <w:b/>
        </w:rPr>
        <w:t>Ministry of Family, Labour and Social Services</w:t>
      </w:r>
      <w:r w:rsidR="005B28A5" w:rsidRPr="005650C3">
        <w:rPr>
          <w:rFonts w:ascii="Times New Roman" w:hAnsi="Times New Roman" w:cs="Times New Roman"/>
        </w:rPr>
        <w:t xml:space="preserve">, </w:t>
      </w:r>
      <w:r w:rsidR="005B28A5">
        <w:rPr>
          <w:rFonts w:ascii="Times New Roman" w:hAnsi="Times New Roman" w:cs="Times New Roman"/>
        </w:rPr>
        <w:t xml:space="preserve">also known as </w:t>
      </w:r>
      <w:r w:rsidR="005B28A5" w:rsidRPr="005650C3">
        <w:rPr>
          <w:rFonts w:ascii="Times New Roman" w:hAnsi="Times New Roman" w:cs="Times New Roman"/>
        </w:rPr>
        <w:t>‘</w:t>
      </w:r>
      <w:r w:rsidR="005B28A5" w:rsidRPr="005650C3">
        <w:rPr>
          <w:rFonts w:ascii="Times New Roman" w:hAnsi="Times New Roman" w:cs="Times New Roman"/>
          <w:i/>
        </w:rPr>
        <w:t>Aile, Calisma ve Sosyal Hizmetler Bakanligi’,</w:t>
      </w:r>
      <w:r w:rsidR="005B28A5">
        <w:rPr>
          <w:rFonts w:ascii="Times New Roman" w:hAnsi="Times New Roman" w:cs="Times New Roman"/>
          <w:i/>
        </w:rPr>
        <w:t xml:space="preserve"> </w:t>
      </w:r>
      <w:r w:rsidR="005B28A5">
        <w:rPr>
          <w:rFonts w:ascii="Times New Roman" w:hAnsi="Times New Roman" w:cs="Times New Roman"/>
        </w:rPr>
        <w:t xml:space="preserve">which has its headquarters in Ankara. </w:t>
      </w:r>
      <w:r w:rsidR="00645003">
        <w:rPr>
          <w:rFonts w:ascii="Times New Roman" w:hAnsi="Times New Roman" w:cs="Times New Roman"/>
        </w:rPr>
        <w:t xml:space="preserve">The reason for the selection of this set of interviewees </w:t>
      </w:r>
      <w:r w:rsidR="001D3BC7">
        <w:rPr>
          <w:rFonts w:ascii="Times New Roman" w:hAnsi="Times New Roman" w:cs="Times New Roman"/>
        </w:rPr>
        <w:t xml:space="preserve">was due to their knowledge of the study’s subject matter, and also due to </w:t>
      </w:r>
      <w:r w:rsidR="00FC26E0">
        <w:rPr>
          <w:rFonts w:ascii="Times New Roman" w:hAnsi="Times New Roman" w:cs="Times New Roman"/>
        </w:rPr>
        <w:t xml:space="preserve">their positions at the Ministry, which is in charge of </w:t>
      </w:r>
      <w:r w:rsidR="00194B8A">
        <w:rPr>
          <w:rFonts w:ascii="Times New Roman" w:hAnsi="Times New Roman" w:cs="Times New Roman"/>
        </w:rPr>
        <w:t>family and women affairs.</w:t>
      </w:r>
      <w:r w:rsidR="00717911">
        <w:rPr>
          <w:rFonts w:ascii="Times New Roman" w:hAnsi="Times New Roman" w:cs="Times New Roman"/>
        </w:rPr>
        <w:t xml:space="preserve"> The t</w:t>
      </w:r>
      <w:r w:rsidRPr="00384DF7">
        <w:rPr>
          <w:rFonts w:ascii="Times New Roman" w:hAnsi="Times New Roman" w:cs="Times New Roman"/>
        </w:rPr>
        <w:t>able</w:t>
      </w:r>
      <w:r w:rsidR="00717911">
        <w:rPr>
          <w:rFonts w:ascii="Times New Roman" w:hAnsi="Times New Roman" w:cs="Times New Roman"/>
        </w:rPr>
        <w:t>s</w:t>
      </w:r>
      <w:r w:rsidRPr="00384DF7">
        <w:rPr>
          <w:rFonts w:ascii="Times New Roman" w:hAnsi="Times New Roman" w:cs="Times New Roman"/>
        </w:rPr>
        <w:t xml:space="preserve"> below </w:t>
      </w:r>
      <w:r w:rsidR="00717911">
        <w:rPr>
          <w:rFonts w:ascii="Times New Roman" w:hAnsi="Times New Roman" w:cs="Times New Roman"/>
        </w:rPr>
        <w:t xml:space="preserve">depict </w:t>
      </w:r>
      <w:r>
        <w:rPr>
          <w:rFonts w:ascii="Times New Roman" w:hAnsi="Times New Roman" w:cs="Times New Roman"/>
        </w:rPr>
        <w:t>tabular representation</w:t>
      </w:r>
      <w:r w:rsidR="00717911">
        <w:rPr>
          <w:rFonts w:ascii="Times New Roman" w:hAnsi="Times New Roman" w:cs="Times New Roman"/>
        </w:rPr>
        <w:t>s</w:t>
      </w:r>
      <w:r>
        <w:rPr>
          <w:rFonts w:ascii="Times New Roman" w:hAnsi="Times New Roman" w:cs="Times New Roman"/>
        </w:rPr>
        <w:t xml:space="preserve"> </w:t>
      </w:r>
      <w:r w:rsidRPr="00384DF7">
        <w:rPr>
          <w:rFonts w:ascii="Times New Roman" w:hAnsi="Times New Roman" w:cs="Times New Roman"/>
        </w:rPr>
        <w:t xml:space="preserve">of the </w:t>
      </w:r>
      <w:r w:rsidR="00717911">
        <w:rPr>
          <w:rFonts w:ascii="Times New Roman" w:hAnsi="Times New Roman" w:cs="Times New Roman"/>
        </w:rPr>
        <w:t xml:space="preserve">10 interviewees consulted </w:t>
      </w:r>
      <w:r>
        <w:rPr>
          <w:rFonts w:ascii="Times New Roman" w:hAnsi="Times New Roman" w:cs="Times New Roman"/>
        </w:rPr>
        <w:t xml:space="preserve">for this </w:t>
      </w:r>
      <w:r w:rsidR="00717911">
        <w:rPr>
          <w:rFonts w:ascii="Times New Roman" w:hAnsi="Times New Roman" w:cs="Times New Roman"/>
        </w:rPr>
        <w:t>paper.</w:t>
      </w:r>
    </w:p>
    <w:p w14:paraId="19B1E7D1" w14:textId="77777777" w:rsidR="00BF7D00" w:rsidRDefault="00BF7D00" w:rsidP="00BF7D00">
      <w:pPr>
        <w:pStyle w:val="NoSpacing"/>
        <w:spacing w:line="360" w:lineRule="auto"/>
        <w:ind w:left="-567" w:right="-489"/>
        <w:jc w:val="both"/>
        <w:rPr>
          <w:rFonts w:ascii="Times New Roman" w:hAnsi="Times New Roman" w:cs="Times New Roman"/>
        </w:rPr>
      </w:pPr>
    </w:p>
    <w:p w14:paraId="5251091D" w14:textId="67F46DC9" w:rsidR="00560CF4" w:rsidRDefault="00BF7D00" w:rsidP="00560CF4">
      <w:pPr>
        <w:pStyle w:val="NoSpacing"/>
        <w:spacing w:line="360" w:lineRule="auto"/>
        <w:ind w:left="-567" w:right="-489"/>
        <w:jc w:val="both"/>
        <w:rPr>
          <w:rFonts w:ascii="Times New Roman" w:hAnsi="Times New Roman" w:cs="Times New Roman"/>
          <w:b/>
        </w:rPr>
      </w:pPr>
      <w:r>
        <w:rPr>
          <w:rFonts w:ascii="Times New Roman" w:hAnsi="Times New Roman" w:cs="Times New Roman"/>
          <w:b/>
        </w:rPr>
        <w:t>Table 4</w:t>
      </w:r>
      <w:r w:rsidRPr="005650C3">
        <w:rPr>
          <w:rFonts w:ascii="Times New Roman" w:hAnsi="Times New Roman" w:cs="Times New Roman"/>
          <w:b/>
        </w:rPr>
        <w:t xml:space="preserve">.1: Male </w:t>
      </w:r>
      <w:r w:rsidR="00534B44">
        <w:rPr>
          <w:rFonts w:ascii="Times New Roman" w:hAnsi="Times New Roman" w:cs="Times New Roman"/>
          <w:b/>
        </w:rPr>
        <w:t>Interviewees’</w:t>
      </w:r>
      <w:r w:rsidRPr="005650C3">
        <w:rPr>
          <w:rFonts w:ascii="Times New Roman" w:hAnsi="Times New Roman" w:cs="Times New Roman"/>
          <w:b/>
        </w:rPr>
        <w:t xml:space="preserve"> Names and Units in the Ministry </w:t>
      </w:r>
    </w:p>
    <w:tbl>
      <w:tblPr>
        <w:tblStyle w:val="TableGrid"/>
        <w:tblW w:w="0" w:type="auto"/>
        <w:jc w:val="center"/>
        <w:tblLook w:val="04A0" w:firstRow="1" w:lastRow="0" w:firstColumn="1" w:lastColumn="0" w:noHBand="0" w:noVBand="1"/>
      </w:tblPr>
      <w:tblGrid>
        <w:gridCol w:w="4766"/>
        <w:gridCol w:w="1527"/>
        <w:gridCol w:w="2223"/>
      </w:tblGrid>
      <w:tr w:rsidR="00560CF4" w:rsidRPr="005650C3" w14:paraId="7FC022FB" w14:textId="77777777" w:rsidTr="00AC74B6">
        <w:trPr>
          <w:jc w:val="center"/>
        </w:trPr>
        <w:tc>
          <w:tcPr>
            <w:tcW w:w="0" w:type="auto"/>
            <w:vAlign w:val="center"/>
          </w:tcPr>
          <w:p w14:paraId="1BF182DF" w14:textId="77777777" w:rsidR="00560CF4" w:rsidRPr="005650C3" w:rsidRDefault="00560CF4" w:rsidP="00AC74B6">
            <w:pPr>
              <w:spacing w:line="360" w:lineRule="auto"/>
              <w:jc w:val="center"/>
              <w:rPr>
                <w:rFonts w:ascii="Times New Roman" w:hAnsi="Times New Roman"/>
                <w:b/>
              </w:rPr>
            </w:pPr>
            <w:r w:rsidRPr="005650C3">
              <w:rPr>
                <w:rFonts w:ascii="Times New Roman" w:hAnsi="Times New Roman"/>
                <w:b/>
              </w:rPr>
              <w:t>Units</w:t>
            </w:r>
          </w:p>
        </w:tc>
        <w:tc>
          <w:tcPr>
            <w:tcW w:w="0" w:type="auto"/>
            <w:vAlign w:val="center"/>
          </w:tcPr>
          <w:p w14:paraId="1B3671F7" w14:textId="77777777" w:rsidR="00560CF4" w:rsidRPr="005650C3" w:rsidRDefault="00560CF4" w:rsidP="00AC74B6">
            <w:pPr>
              <w:spacing w:line="360" w:lineRule="auto"/>
              <w:jc w:val="center"/>
              <w:rPr>
                <w:rFonts w:ascii="Times New Roman" w:hAnsi="Times New Roman"/>
                <w:b/>
              </w:rPr>
            </w:pPr>
            <w:r w:rsidRPr="005650C3">
              <w:rPr>
                <w:rFonts w:ascii="Times New Roman" w:hAnsi="Times New Roman"/>
                <w:b/>
              </w:rPr>
              <w:t>Name of Staff</w:t>
            </w:r>
          </w:p>
        </w:tc>
        <w:tc>
          <w:tcPr>
            <w:tcW w:w="0" w:type="auto"/>
            <w:vAlign w:val="center"/>
          </w:tcPr>
          <w:p w14:paraId="12BED91D" w14:textId="77777777" w:rsidR="00560CF4" w:rsidRPr="005650C3" w:rsidRDefault="00560CF4" w:rsidP="00AC74B6">
            <w:pPr>
              <w:spacing w:line="360" w:lineRule="auto"/>
              <w:jc w:val="center"/>
              <w:rPr>
                <w:rFonts w:ascii="Times New Roman" w:hAnsi="Times New Roman"/>
                <w:b/>
              </w:rPr>
            </w:pPr>
            <w:r w:rsidRPr="005650C3">
              <w:rPr>
                <w:rFonts w:ascii="Times New Roman" w:hAnsi="Times New Roman"/>
                <w:b/>
              </w:rPr>
              <w:t>Staff’s Gender</w:t>
            </w:r>
          </w:p>
          <w:p w14:paraId="3E9BF2D8" w14:textId="77777777" w:rsidR="00560CF4" w:rsidRPr="005650C3" w:rsidRDefault="00560CF4" w:rsidP="00AC74B6">
            <w:pPr>
              <w:spacing w:line="360" w:lineRule="auto"/>
              <w:jc w:val="center"/>
              <w:rPr>
                <w:rFonts w:ascii="Times New Roman" w:hAnsi="Times New Roman"/>
                <w:b/>
              </w:rPr>
            </w:pPr>
          </w:p>
        </w:tc>
      </w:tr>
      <w:tr w:rsidR="00560CF4" w:rsidRPr="005650C3" w14:paraId="2B047201" w14:textId="77777777" w:rsidTr="00AC74B6">
        <w:trPr>
          <w:jc w:val="center"/>
        </w:trPr>
        <w:tc>
          <w:tcPr>
            <w:tcW w:w="0" w:type="auto"/>
            <w:vAlign w:val="center"/>
          </w:tcPr>
          <w:p w14:paraId="090AE136" w14:textId="77777777" w:rsidR="00560CF4" w:rsidRPr="005650C3" w:rsidRDefault="00560CF4" w:rsidP="00AC74B6">
            <w:pPr>
              <w:spacing w:line="360" w:lineRule="auto"/>
              <w:jc w:val="center"/>
              <w:rPr>
                <w:rFonts w:ascii="Times New Roman" w:hAnsi="Times New Roman"/>
              </w:rPr>
            </w:pPr>
            <w:r w:rsidRPr="005650C3">
              <w:rPr>
                <w:rFonts w:ascii="Times New Roman" w:hAnsi="Times New Roman"/>
              </w:rPr>
              <w:t xml:space="preserve">Directorate General for Family and Community Services </w:t>
            </w:r>
          </w:p>
        </w:tc>
        <w:tc>
          <w:tcPr>
            <w:tcW w:w="0" w:type="auto"/>
            <w:vAlign w:val="center"/>
          </w:tcPr>
          <w:p w14:paraId="016E88FF" w14:textId="77777777" w:rsidR="00560CF4" w:rsidRPr="005650C3" w:rsidRDefault="00560CF4" w:rsidP="00AC74B6">
            <w:pPr>
              <w:spacing w:line="360" w:lineRule="auto"/>
              <w:rPr>
                <w:rFonts w:ascii="Times New Roman" w:hAnsi="Times New Roman"/>
              </w:rPr>
            </w:pPr>
            <w:r w:rsidRPr="005650C3">
              <w:rPr>
                <w:rFonts w:ascii="Times New Roman" w:hAnsi="Times New Roman"/>
              </w:rPr>
              <w:t>Muhiddin</w:t>
            </w:r>
          </w:p>
        </w:tc>
        <w:tc>
          <w:tcPr>
            <w:tcW w:w="0" w:type="auto"/>
            <w:vAlign w:val="center"/>
          </w:tcPr>
          <w:p w14:paraId="088A50D8" w14:textId="77777777" w:rsidR="00560CF4" w:rsidRPr="005650C3" w:rsidRDefault="00560CF4" w:rsidP="00AC74B6">
            <w:pPr>
              <w:spacing w:line="360" w:lineRule="auto"/>
              <w:rPr>
                <w:rFonts w:ascii="Times New Roman" w:hAnsi="Times New Roman"/>
              </w:rPr>
            </w:pPr>
            <w:r w:rsidRPr="005650C3">
              <w:rPr>
                <w:rFonts w:ascii="Times New Roman" w:hAnsi="Times New Roman"/>
              </w:rPr>
              <w:t xml:space="preserve">                               Male</w:t>
            </w:r>
          </w:p>
          <w:p w14:paraId="3D4C1668" w14:textId="77777777" w:rsidR="00560CF4" w:rsidRPr="005650C3" w:rsidRDefault="00560CF4" w:rsidP="00AC74B6">
            <w:pPr>
              <w:spacing w:line="360" w:lineRule="auto"/>
              <w:rPr>
                <w:rFonts w:ascii="Times New Roman" w:hAnsi="Times New Roman"/>
              </w:rPr>
            </w:pPr>
          </w:p>
        </w:tc>
      </w:tr>
      <w:tr w:rsidR="00560CF4" w:rsidRPr="005650C3" w14:paraId="5A16138B" w14:textId="77777777" w:rsidTr="00AC74B6">
        <w:trPr>
          <w:jc w:val="center"/>
        </w:trPr>
        <w:tc>
          <w:tcPr>
            <w:tcW w:w="0" w:type="auto"/>
            <w:vAlign w:val="center"/>
          </w:tcPr>
          <w:p w14:paraId="649666D4" w14:textId="77777777" w:rsidR="00560CF4" w:rsidRPr="005650C3" w:rsidRDefault="00560CF4" w:rsidP="00AC74B6">
            <w:pPr>
              <w:spacing w:line="360" w:lineRule="auto"/>
              <w:jc w:val="center"/>
              <w:rPr>
                <w:rFonts w:ascii="Times New Roman" w:hAnsi="Times New Roman"/>
              </w:rPr>
            </w:pPr>
            <w:r w:rsidRPr="005650C3">
              <w:rPr>
                <w:rFonts w:ascii="Times New Roman" w:hAnsi="Times New Roman"/>
              </w:rPr>
              <w:t>Directorate General for Information Technologies</w:t>
            </w:r>
          </w:p>
        </w:tc>
        <w:tc>
          <w:tcPr>
            <w:tcW w:w="0" w:type="auto"/>
            <w:vAlign w:val="center"/>
          </w:tcPr>
          <w:p w14:paraId="78F3C461" w14:textId="77777777" w:rsidR="00560CF4" w:rsidRPr="005650C3" w:rsidRDefault="00560CF4" w:rsidP="00AC74B6">
            <w:pPr>
              <w:spacing w:line="360" w:lineRule="auto"/>
              <w:rPr>
                <w:rFonts w:ascii="Times New Roman" w:hAnsi="Times New Roman"/>
              </w:rPr>
            </w:pPr>
            <w:r w:rsidRPr="005650C3">
              <w:rPr>
                <w:rFonts w:ascii="Times New Roman" w:hAnsi="Times New Roman"/>
              </w:rPr>
              <w:t>Mustafa</w:t>
            </w:r>
          </w:p>
        </w:tc>
        <w:tc>
          <w:tcPr>
            <w:tcW w:w="0" w:type="auto"/>
            <w:vAlign w:val="center"/>
          </w:tcPr>
          <w:p w14:paraId="3AC1B69F" w14:textId="77777777" w:rsidR="00560CF4" w:rsidRPr="005650C3" w:rsidRDefault="00560CF4" w:rsidP="00AC74B6">
            <w:pPr>
              <w:spacing w:line="360" w:lineRule="auto"/>
              <w:rPr>
                <w:rFonts w:ascii="Times New Roman" w:hAnsi="Times New Roman"/>
              </w:rPr>
            </w:pPr>
            <w:r w:rsidRPr="005650C3">
              <w:rPr>
                <w:rFonts w:ascii="Times New Roman" w:hAnsi="Times New Roman"/>
              </w:rPr>
              <w:t>Male</w:t>
            </w:r>
          </w:p>
          <w:p w14:paraId="3487D57E" w14:textId="77777777" w:rsidR="00560CF4" w:rsidRPr="005650C3" w:rsidRDefault="00560CF4" w:rsidP="00AC74B6">
            <w:pPr>
              <w:spacing w:line="360" w:lineRule="auto"/>
              <w:rPr>
                <w:rFonts w:ascii="Times New Roman" w:hAnsi="Times New Roman"/>
              </w:rPr>
            </w:pPr>
          </w:p>
        </w:tc>
      </w:tr>
      <w:tr w:rsidR="00560CF4" w:rsidRPr="005650C3" w14:paraId="18381EAD" w14:textId="77777777" w:rsidTr="00AC74B6">
        <w:trPr>
          <w:jc w:val="center"/>
        </w:trPr>
        <w:tc>
          <w:tcPr>
            <w:tcW w:w="0" w:type="auto"/>
            <w:vAlign w:val="center"/>
          </w:tcPr>
          <w:p w14:paraId="1BF8B45C" w14:textId="77777777" w:rsidR="00560CF4" w:rsidRPr="005650C3" w:rsidRDefault="00560CF4" w:rsidP="00AC74B6">
            <w:pPr>
              <w:spacing w:line="360" w:lineRule="auto"/>
              <w:jc w:val="center"/>
              <w:rPr>
                <w:rFonts w:ascii="Times New Roman" w:hAnsi="Times New Roman"/>
              </w:rPr>
            </w:pPr>
            <w:r w:rsidRPr="005650C3">
              <w:rPr>
                <w:rFonts w:ascii="Times New Roman" w:hAnsi="Times New Roman"/>
              </w:rPr>
              <w:t>Directorate General for Labour</w:t>
            </w:r>
          </w:p>
        </w:tc>
        <w:tc>
          <w:tcPr>
            <w:tcW w:w="0" w:type="auto"/>
            <w:vAlign w:val="center"/>
          </w:tcPr>
          <w:p w14:paraId="2F2BE060" w14:textId="77777777" w:rsidR="00560CF4" w:rsidRPr="005650C3" w:rsidRDefault="00560CF4" w:rsidP="00AC74B6">
            <w:pPr>
              <w:spacing w:line="360" w:lineRule="auto"/>
              <w:rPr>
                <w:rFonts w:ascii="Times New Roman" w:hAnsi="Times New Roman"/>
              </w:rPr>
            </w:pPr>
            <w:r w:rsidRPr="005650C3">
              <w:rPr>
                <w:rFonts w:ascii="Times New Roman" w:hAnsi="Times New Roman"/>
              </w:rPr>
              <w:t>Nurcan</w:t>
            </w:r>
          </w:p>
        </w:tc>
        <w:tc>
          <w:tcPr>
            <w:tcW w:w="0" w:type="auto"/>
            <w:vAlign w:val="center"/>
          </w:tcPr>
          <w:p w14:paraId="414B8A22" w14:textId="77777777" w:rsidR="00560CF4" w:rsidRPr="005650C3" w:rsidRDefault="00560CF4" w:rsidP="00AC74B6">
            <w:pPr>
              <w:spacing w:line="360" w:lineRule="auto"/>
              <w:rPr>
                <w:rFonts w:ascii="Times New Roman" w:hAnsi="Times New Roman"/>
              </w:rPr>
            </w:pPr>
          </w:p>
          <w:p w14:paraId="09FF0A3B" w14:textId="77777777" w:rsidR="00560CF4" w:rsidRPr="005650C3" w:rsidRDefault="00560CF4" w:rsidP="00AC74B6">
            <w:pPr>
              <w:spacing w:line="360" w:lineRule="auto"/>
              <w:rPr>
                <w:rFonts w:ascii="Times New Roman" w:hAnsi="Times New Roman"/>
              </w:rPr>
            </w:pPr>
            <w:r w:rsidRPr="005650C3">
              <w:rPr>
                <w:rFonts w:ascii="Times New Roman" w:hAnsi="Times New Roman"/>
              </w:rPr>
              <w:t>Male</w:t>
            </w:r>
          </w:p>
        </w:tc>
      </w:tr>
      <w:tr w:rsidR="00560CF4" w:rsidRPr="005650C3" w14:paraId="7DD0FC7C" w14:textId="77777777" w:rsidTr="00AC74B6">
        <w:trPr>
          <w:jc w:val="center"/>
        </w:trPr>
        <w:tc>
          <w:tcPr>
            <w:tcW w:w="0" w:type="auto"/>
            <w:vAlign w:val="center"/>
          </w:tcPr>
          <w:p w14:paraId="3BFD90E4" w14:textId="77777777" w:rsidR="00560CF4" w:rsidRPr="005650C3" w:rsidRDefault="00560CF4" w:rsidP="00AC74B6">
            <w:pPr>
              <w:spacing w:line="360" w:lineRule="auto"/>
              <w:jc w:val="center"/>
              <w:rPr>
                <w:rFonts w:ascii="Times New Roman" w:hAnsi="Times New Roman"/>
              </w:rPr>
            </w:pPr>
            <w:r w:rsidRPr="005650C3">
              <w:rPr>
                <w:rFonts w:ascii="Times New Roman" w:hAnsi="Times New Roman"/>
              </w:rPr>
              <w:t>Directorate General for Foreign Relations</w:t>
            </w:r>
          </w:p>
        </w:tc>
        <w:tc>
          <w:tcPr>
            <w:tcW w:w="0" w:type="auto"/>
            <w:vAlign w:val="center"/>
          </w:tcPr>
          <w:p w14:paraId="09AC3D98" w14:textId="77777777" w:rsidR="00560CF4" w:rsidRPr="005650C3" w:rsidRDefault="00560CF4" w:rsidP="00AC74B6">
            <w:pPr>
              <w:spacing w:line="360" w:lineRule="auto"/>
              <w:rPr>
                <w:rFonts w:ascii="Times New Roman" w:hAnsi="Times New Roman"/>
              </w:rPr>
            </w:pPr>
            <w:r w:rsidRPr="005650C3">
              <w:rPr>
                <w:rFonts w:ascii="Times New Roman" w:hAnsi="Times New Roman"/>
              </w:rPr>
              <w:t>Oguz</w:t>
            </w:r>
          </w:p>
        </w:tc>
        <w:tc>
          <w:tcPr>
            <w:tcW w:w="0" w:type="auto"/>
            <w:vAlign w:val="center"/>
          </w:tcPr>
          <w:p w14:paraId="2FC39DA0" w14:textId="77777777" w:rsidR="00560CF4" w:rsidRPr="005650C3" w:rsidRDefault="00560CF4" w:rsidP="00AC74B6">
            <w:pPr>
              <w:spacing w:line="360" w:lineRule="auto"/>
              <w:rPr>
                <w:rFonts w:ascii="Times New Roman" w:hAnsi="Times New Roman"/>
              </w:rPr>
            </w:pPr>
            <w:r w:rsidRPr="005650C3">
              <w:rPr>
                <w:rFonts w:ascii="Times New Roman" w:hAnsi="Times New Roman"/>
              </w:rPr>
              <w:t>Male</w:t>
            </w:r>
          </w:p>
          <w:p w14:paraId="7E82DFCF" w14:textId="77777777" w:rsidR="00560CF4" w:rsidRPr="005650C3" w:rsidRDefault="00560CF4" w:rsidP="00AC74B6">
            <w:pPr>
              <w:spacing w:line="360" w:lineRule="auto"/>
              <w:rPr>
                <w:rFonts w:ascii="Times New Roman" w:hAnsi="Times New Roman"/>
              </w:rPr>
            </w:pPr>
          </w:p>
        </w:tc>
      </w:tr>
      <w:tr w:rsidR="00560CF4" w:rsidRPr="005650C3" w14:paraId="42D72270" w14:textId="77777777" w:rsidTr="00AC74B6">
        <w:tblPrEx>
          <w:tblLook w:val="0000" w:firstRow="0" w:lastRow="0" w:firstColumn="0" w:lastColumn="0" w:noHBand="0" w:noVBand="0"/>
        </w:tblPrEx>
        <w:trPr>
          <w:trHeight w:val="720"/>
          <w:jc w:val="center"/>
        </w:trPr>
        <w:tc>
          <w:tcPr>
            <w:tcW w:w="0" w:type="auto"/>
          </w:tcPr>
          <w:p w14:paraId="55731DA7" w14:textId="77777777" w:rsidR="00560CF4" w:rsidRPr="005650C3" w:rsidRDefault="00560CF4" w:rsidP="00AC74B6">
            <w:pPr>
              <w:spacing w:line="360" w:lineRule="auto"/>
              <w:rPr>
                <w:rFonts w:ascii="Times New Roman" w:hAnsi="Times New Roman"/>
              </w:rPr>
            </w:pPr>
            <w:r w:rsidRPr="005650C3">
              <w:rPr>
                <w:rFonts w:ascii="Times New Roman" w:hAnsi="Times New Roman"/>
              </w:rPr>
              <w:t xml:space="preserve">        Department of Internal Audit</w:t>
            </w:r>
          </w:p>
        </w:tc>
        <w:tc>
          <w:tcPr>
            <w:tcW w:w="0" w:type="auto"/>
          </w:tcPr>
          <w:p w14:paraId="3C456C34" w14:textId="77777777" w:rsidR="00560CF4" w:rsidRPr="005650C3" w:rsidRDefault="00560CF4" w:rsidP="00AC74B6">
            <w:pPr>
              <w:spacing w:line="360" w:lineRule="auto"/>
              <w:rPr>
                <w:rFonts w:ascii="Times New Roman" w:hAnsi="Times New Roman"/>
              </w:rPr>
            </w:pPr>
            <w:r w:rsidRPr="005650C3">
              <w:rPr>
                <w:rFonts w:ascii="Times New Roman" w:hAnsi="Times New Roman"/>
              </w:rPr>
              <w:t>Yasar</w:t>
            </w:r>
          </w:p>
        </w:tc>
        <w:tc>
          <w:tcPr>
            <w:tcW w:w="0" w:type="auto"/>
          </w:tcPr>
          <w:p w14:paraId="4E54ED3E" w14:textId="77777777" w:rsidR="00560CF4" w:rsidRPr="005650C3" w:rsidRDefault="00560CF4" w:rsidP="00AC74B6">
            <w:pPr>
              <w:spacing w:line="360" w:lineRule="auto"/>
              <w:rPr>
                <w:rFonts w:ascii="Times New Roman" w:hAnsi="Times New Roman"/>
              </w:rPr>
            </w:pPr>
            <w:r w:rsidRPr="005650C3">
              <w:rPr>
                <w:rFonts w:ascii="Times New Roman" w:hAnsi="Times New Roman"/>
              </w:rPr>
              <w:t>Male</w:t>
            </w:r>
          </w:p>
          <w:p w14:paraId="2B1E4202" w14:textId="77777777" w:rsidR="00560CF4" w:rsidRPr="005650C3" w:rsidRDefault="00560CF4" w:rsidP="00AC74B6">
            <w:pPr>
              <w:spacing w:line="360" w:lineRule="auto"/>
              <w:rPr>
                <w:rFonts w:ascii="Times New Roman" w:hAnsi="Times New Roman"/>
              </w:rPr>
            </w:pPr>
          </w:p>
        </w:tc>
      </w:tr>
    </w:tbl>
    <w:p w14:paraId="7B237FFA" w14:textId="77777777" w:rsidR="00560CF4" w:rsidRDefault="00560CF4" w:rsidP="00BF7D00">
      <w:pPr>
        <w:pStyle w:val="NoSpacing"/>
        <w:spacing w:line="360" w:lineRule="auto"/>
        <w:ind w:left="-567" w:right="-489"/>
        <w:jc w:val="both"/>
        <w:rPr>
          <w:rFonts w:ascii="Times New Roman" w:hAnsi="Times New Roman" w:cs="Times New Roman"/>
        </w:rPr>
      </w:pPr>
    </w:p>
    <w:p w14:paraId="2B74696B" w14:textId="7851EF5C" w:rsidR="00F979A5" w:rsidRPr="005650C3" w:rsidRDefault="00F979A5" w:rsidP="00F979A5">
      <w:pPr>
        <w:spacing w:line="360" w:lineRule="auto"/>
        <w:ind w:left="-426" w:right="-489"/>
        <w:jc w:val="both"/>
        <w:rPr>
          <w:rFonts w:ascii="Times New Roman" w:hAnsi="Times New Roman" w:cs="Times New Roman"/>
          <w:b/>
        </w:rPr>
      </w:pPr>
      <w:r w:rsidRPr="005650C3">
        <w:rPr>
          <w:rFonts w:ascii="Times New Roman" w:hAnsi="Times New Roman" w:cs="Times New Roman"/>
          <w:b/>
        </w:rPr>
        <w:t xml:space="preserve">Table </w:t>
      </w:r>
      <w:r>
        <w:rPr>
          <w:rFonts w:ascii="Times New Roman" w:hAnsi="Times New Roman" w:cs="Times New Roman"/>
          <w:b/>
        </w:rPr>
        <w:t>4</w:t>
      </w:r>
      <w:r w:rsidRPr="005650C3">
        <w:rPr>
          <w:rFonts w:ascii="Times New Roman" w:hAnsi="Times New Roman" w:cs="Times New Roman"/>
          <w:b/>
        </w:rPr>
        <w:t xml:space="preserve">.2: Female </w:t>
      </w:r>
      <w:r w:rsidR="00534B44">
        <w:rPr>
          <w:rFonts w:ascii="Times New Roman" w:hAnsi="Times New Roman" w:cs="Times New Roman"/>
          <w:b/>
        </w:rPr>
        <w:t>Interviewees’</w:t>
      </w:r>
      <w:r w:rsidRPr="005650C3">
        <w:rPr>
          <w:rFonts w:ascii="Times New Roman" w:hAnsi="Times New Roman" w:cs="Times New Roman"/>
          <w:b/>
        </w:rPr>
        <w:t xml:space="preserve"> Names and Units in the Ministry </w:t>
      </w:r>
    </w:p>
    <w:tbl>
      <w:tblPr>
        <w:tblStyle w:val="TableGrid"/>
        <w:tblW w:w="0" w:type="auto"/>
        <w:jc w:val="center"/>
        <w:tblLook w:val="04A0" w:firstRow="1" w:lastRow="0" w:firstColumn="1" w:lastColumn="0" w:noHBand="0" w:noVBand="1"/>
      </w:tblPr>
      <w:tblGrid>
        <w:gridCol w:w="5413"/>
        <w:gridCol w:w="1518"/>
        <w:gridCol w:w="1585"/>
      </w:tblGrid>
      <w:tr w:rsidR="00F979A5" w:rsidRPr="005650C3" w14:paraId="195B413A" w14:textId="77777777" w:rsidTr="00AC74B6">
        <w:trPr>
          <w:jc w:val="center"/>
        </w:trPr>
        <w:tc>
          <w:tcPr>
            <w:tcW w:w="0" w:type="auto"/>
            <w:vAlign w:val="center"/>
          </w:tcPr>
          <w:p w14:paraId="2BFCF8E0" w14:textId="77777777" w:rsidR="00F979A5" w:rsidRPr="005650C3" w:rsidRDefault="00F979A5" w:rsidP="00AC74B6">
            <w:pPr>
              <w:spacing w:line="360" w:lineRule="auto"/>
              <w:jc w:val="center"/>
              <w:rPr>
                <w:rFonts w:ascii="Times New Roman" w:hAnsi="Times New Roman"/>
                <w:b/>
              </w:rPr>
            </w:pPr>
            <w:r w:rsidRPr="005650C3">
              <w:rPr>
                <w:rFonts w:ascii="Times New Roman" w:hAnsi="Times New Roman"/>
                <w:b/>
              </w:rPr>
              <w:t>Units</w:t>
            </w:r>
          </w:p>
        </w:tc>
        <w:tc>
          <w:tcPr>
            <w:tcW w:w="0" w:type="auto"/>
            <w:vAlign w:val="center"/>
          </w:tcPr>
          <w:p w14:paraId="22E47C66" w14:textId="77777777" w:rsidR="00F979A5" w:rsidRPr="005650C3" w:rsidRDefault="00F979A5" w:rsidP="00AC74B6">
            <w:pPr>
              <w:spacing w:line="360" w:lineRule="auto"/>
              <w:jc w:val="center"/>
              <w:rPr>
                <w:rFonts w:ascii="Times New Roman" w:hAnsi="Times New Roman"/>
                <w:b/>
              </w:rPr>
            </w:pPr>
            <w:r w:rsidRPr="005650C3">
              <w:rPr>
                <w:rFonts w:ascii="Times New Roman" w:hAnsi="Times New Roman"/>
                <w:b/>
              </w:rPr>
              <w:t>Name of Staff</w:t>
            </w:r>
          </w:p>
        </w:tc>
        <w:tc>
          <w:tcPr>
            <w:tcW w:w="0" w:type="auto"/>
            <w:vAlign w:val="center"/>
          </w:tcPr>
          <w:p w14:paraId="3285126C" w14:textId="77777777" w:rsidR="00F979A5" w:rsidRPr="005650C3" w:rsidRDefault="00F979A5" w:rsidP="00AC74B6">
            <w:pPr>
              <w:spacing w:line="360" w:lineRule="auto"/>
              <w:jc w:val="center"/>
              <w:rPr>
                <w:rFonts w:ascii="Times New Roman" w:hAnsi="Times New Roman"/>
                <w:b/>
              </w:rPr>
            </w:pPr>
            <w:r w:rsidRPr="005650C3">
              <w:rPr>
                <w:rFonts w:ascii="Times New Roman" w:hAnsi="Times New Roman"/>
                <w:b/>
              </w:rPr>
              <w:t>Staff’s Gender</w:t>
            </w:r>
          </w:p>
          <w:p w14:paraId="36208A02" w14:textId="77777777" w:rsidR="00F979A5" w:rsidRPr="005650C3" w:rsidRDefault="00F979A5" w:rsidP="00AC74B6">
            <w:pPr>
              <w:spacing w:line="360" w:lineRule="auto"/>
              <w:jc w:val="center"/>
              <w:rPr>
                <w:rFonts w:ascii="Times New Roman" w:hAnsi="Times New Roman"/>
                <w:b/>
              </w:rPr>
            </w:pPr>
          </w:p>
        </w:tc>
      </w:tr>
      <w:tr w:rsidR="00F979A5" w:rsidRPr="005650C3" w14:paraId="771A71EA" w14:textId="77777777" w:rsidTr="00AC74B6">
        <w:trPr>
          <w:jc w:val="center"/>
        </w:trPr>
        <w:tc>
          <w:tcPr>
            <w:tcW w:w="0" w:type="auto"/>
            <w:vAlign w:val="center"/>
          </w:tcPr>
          <w:p w14:paraId="5CE20105" w14:textId="77777777" w:rsidR="00F979A5" w:rsidRPr="005650C3" w:rsidRDefault="00F979A5" w:rsidP="00AC74B6">
            <w:pPr>
              <w:spacing w:line="360" w:lineRule="auto"/>
              <w:jc w:val="center"/>
              <w:rPr>
                <w:rFonts w:ascii="Times New Roman" w:hAnsi="Times New Roman"/>
              </w:rPr>
            </w:pPr>
            <w:r w:rsidRPr="005650C3">
              <w:rPr>
                <w:rFonts w:ascii="Times New Roman" w:hAnsi="Times New Roman"/>
              </w:rPr>
              <w:t xml:space="preserve">Directorate of European Union and Financial Assistance </w:t>
            </w:r>
          </w:p>
        </w:tc>
        <w:tc>
          <w:tcPr>
            <w:tcW w:w="0" w:type="auto"/>
            <w:vAlign w:val="center"/>
          </w:tcPr>
          <w:p w14:paraId="654E0A6F" w14:textId="77777777" w:rsidR="00F979A5" w:rsidRPr="005650C3" w:rsidRDefault="00F979A5" w:rsidP="00AC74B6">
            <w:pPr>
              <w:spacing w:line="360" w:lineRule="auto"/>
              <w:rPr>
                <w:rFonts w:ascii="Times New Roman" w:hAnsi="Times New Roman"/>
              </w:rPr>
            </w:pPr>
            <w:r w:rsidRPr="005650C3">
              <w:rPr>
                <w:rFonts w:ascii="Times New Roman" w:hAnsi="Times New Roman"/>
              </w:rPr>
              <w:t>Sureyya</w:t>
            </w:r>
          </w:p>
        </w:tc>
        <w:tc>
          <w:tcPr>
            <w:tcW w:w="0" w:type="auto"/>
            <w:vAlign w:val="center"/>
          </w:tcPr>
          <w:p w14:paraId="7DF33A8F" w14:textId="77777777" w:rsidR="00F979A5" w:rsidRPr="005650C3" w:rsidRDefault="00F979A5" w:rsidP="00AC74B6">
            <w:pPr>
              <w:spacing w:line="360" w:lineRule="auto"/>
              <w:rPr>
                <w:rFonts w:ascii="Times New Roman" w:hAnsi="Times New Roman"/>
              </w:rPr>
            </w:pPr>
            <w:r w:rsidRPr="005650C3">
              <w:rPr>
                <w:rFonts w:ascii="Times New Roman" w:hAnsi="Times New Roman"/>
              </w:rPr>
              <w:t xml:space="preserve"> Female</w:t>
            </w:r>
          </w:p>
        </w:tc>
      </w:tr>
      <w:tr w:rsidR="00F979A5" w:rsidRPr="005650C3" w14:paraId="4D198185" w14:textId="77777777" w:rsidTr="00AC74B6">
        <w:trPr>
          <w:jc w:val="center"/>
        </w:trPr>
        <w:tc>
          <w:tcPr>
            <w:tcW w:w="0" w:type="auto"/>
            <w:vAlign w:val="center"/>
          </w:tcPr>
          <w:p w14:paraId="4C91027C" w14:textId="77777777" w:rsidR="00F979A5" w:rsidRPr="005650C3" w:rsidRDefault="00F979A5" w:rsidP="00AC74B6">
            <w:pPr>
              <w:spacing w:line="360" w:lineRule="auto"/>
              <w:jc w:val="center"/>
              <w:rPr>
                <w:rFonts w:ascii="Times New Roman" w:hAnsi="Times New Roman"/>
              </w:rPr>
            </w:pPr>
            <w:r w:rsidRPr="005650C3">
              <w:rPr>
                <w:rFonts w:ascii="Times New Roman" w:hAnsi="Times New Roman"/>
              </w:rPr>
              <w:t>Directorate General for Child Services</w:t>
            </w:r>
          </w:p>
        </w:tc>
        <w:tc>
          <w:tcPr>
            <w:tcW w:w="0" w:type="auto"/>
            <w:vAlign w:val="center"/>
          </w:tcPr>
          <w:p w14:paraId="72193F36" w14:textId="77777777" w:rsidR="00F979A5" w:rsidRPr="005650C3" w:rsidRDefault="00F979A5" w:rsidP="00AC74B6">
            <w:pPr>
              <w:spacing w:line="360" w:lineRule="auto"/>
              <w:rPr>
                <w:rFonts w:ascii="Times New Roman" w:hAnsi="Times New Roman"/>
              </w:rPr>
            </w:pPr>
            <w:r w:rsidRPr="005650C3">
              <w:rPr>
                <w:rFonts w:ascii="Times New Roman" w:hAnsi="Times New Roman"/>
              </w:rPr>
              <w:t>Zeliha</w:t>
            </w:r>
          </w:p>
        </w:tc>
        <w:tc>
          <w:tcPr>
            <w:tcW w:w="0" w:type="auto"/>
            <w:vAlign w:val="center"/>
          </w:tcPr>
          <w:p w14:paraId="4D9AF799" w14:textId="77777777" w:rsidR="00F979A5" w:rsidRPr="005650C3" w:rsidRDefault="00F979A5" w:rsidP="00AC74B6">
            <w:pPr>
              <w:spacing w:line="360" w:lineRule="auto"/>
              <w:rPr>
                <w:rFonts w:ascii="Times New Roman" w:hAnsi="Times New Roman"/>
              </w:rPr>
            </w:pPr>
            <w:r w:rsidRPr="005650C3">
              <w:rPr>
                <w:rFonts w:ascii="Times New Roman" w:hAnsi="Times New Roman"/>
              </w:rPr>
              <w:t xml:space="preserve">Female </w:t>
            </w:r>
          </w:p>
        </w:tc>
      </w:tr>
      <w:tr w:rsidR="00F979A5" w:rsidRPr="005650C3" w14:paraId="29972472" w14:textId="77777777" w:rsidTr="00AC74B6">
        <w:trPr>
          <w:jc w:val="center"/>
        </w:trPr>
        <w:tc>
          <w:tcPr>
            <w:tcW w:w="0" w:type="auto"/>
            <w:vAlign w:val="center"/>
          </w:tcPr>
          <w:p w14:paraId="668ABC75" w14:textId="77777777" w:rsidR="00F979A5" w:rsidRPr="005650C3" w:rsidRDefault="00F979A5" w:rsidP="00AC74B6">
            <w:pPr>
              <w:spacing w:line="360" w:lineRule="auto"/>
              <w:jc w:val="center"/>
              <w:rPr>
                <w:rFonts w:ascii="Times New Roman" w:hAnsi="Times New Roman"/>
              </w:rPr>
            </w:pPr>
            <w:r w:rsidRPr="005650C3">
              <w:rPr>
                <w:rFonts w:ascii="Times New Roman" w:hAnsi="Times New Roman"/>
              </w:rPr>
              <w:t>Directorate General for International Labour Force</w:t>
            </w:r>
          </w:p>
        </w:tc>
        <w:tc>
          <w:tcPr>
            <w:tcW w:w="0" w:type="auto"/>
            <w:vAlign w:val="center"/>
          </w:tcPr>
          <w:p w14:paraId="736CB8FB" w14:textId="77777777" w:rsidR="00F979A5" w:rsidRPr="005650C3" w:rsidRDefault="00F979A5" w:rsidP="00AC74B6">
            <w:pPr>
              <w:spacing w:line="360" w:lineRule="auto"/>
              <w:rPr>
                <w:rFonts w:ascii="Times New Roman" w:hAnsi="Times New Roman"/>
              </w:rPr>
            </w:pPr>
            <w:r w:rsidRPr="005650C3">
              <w:rPr>
                <w:rFonts w:ascii="Times New Roman" w:hAnsi="Times New Roman"/>
              </w:rPr>
              <w:t>Sadettin</w:t>
            </w:r>
          </w:p>
        </w:tc>
        <w:tc>
          <w:tcPr>
            <w:tcW w:w="0" w:type="auto"/>
            <w:vAlign w:val="center"/>
          </w:tcPr>
          <w:p w14:paraId="2D016547" w14:textId="77777777" w:rsidR="00F979A5" w:rsidRPr="005650C3" w:rsidRDefault="00F979A5" w:rsidP="00AC74B6">
            <w:pPr>
              <w:spacing w:line="360" w:lineRule="auto"/>
              <w:rPr>
                <w:rFonts w:ascii="Times New Roman" w:hAnsi="Times New Roman"/>
              </w:rPr>
            </w:pPr>
            <w:r w:rsidRPr="005650C3">
              <w:rPr>
                <w:rFonts w:ascii="Times New Roman" w:hAnsi="Times New Roman"/>
              </w:rPr>
              <w:t xml:space="preserve">Female </w:t>
            </w:r>
          </w:p>
        </w:tc>
      </w:tr>
      <w:tr w:rsidR="00F979A5" w:rsidRPr="005650C3" w14:paraId="385224C6" w14:textId="77777777" w:rsidTr="00AC74B6">
        <w:trPr>
          <w:jc w:val="center"/>
        </w:trPr>
        <w:tc>
          <w:tcPr>
            <w:tcW w:w="0" w:type="auto"/>
            <w:vAlign w:val="center"/>
          </w:tcPr>
          <w:p w14:paraId="265DE01D" w14:textId="77777777" w:rsidR="00F979A5" w:rsidRPr="005650C3" w:rsidRDefault="00F979A5" w:rsidP="00AC74B6">
            <w:pPr>
              <w:spacing w:line="360" w:lineRule="auto"/>
              <w:jc w:val="center"/>
              <w:rPr>
                <w:rFonts w:ascii="Times New Roman" w:hAnsi="Times New Roman"/>
              </w:rPr>
            </w:pPr>
            <w:r w:rsidRPr="005650C3">
              <w:rPr>
                <w:rFonts w:ascii="Times New Roman" w:hAnsi="Times New Roman"/>
              </w:rPr>
              <w:t>Savings and Charity Fund of Eregli Coal Basin Workers Union</w:t>
            </w:r>
          </w:p>
        </w:tc>
        <w:tc>
          <w:tcPr>
            <w:tcW w:w="0" w:type="auto"/>
            <w:vAlign w:val="center"/>
          </w:tcPr>
          <w:p w14:paraId="7A6B82F0" w14:textId="77777777" w:rsidR="00F979A5" w:rsidRPr="005650C3" w:rsidRDefault="00F979A5" w:rsidP="00AC74B6">
            <w:pPr>
              <w:spacing w:line="360" w:lineRule="auto"/>
              <w:rPr>
                <w:rFonts w:ascii="Times New Roman" w:hAnsi="Times New Roman"/>
              </w:rPr>
            </w:pPr>
            <w:r w:rsidRPr="005650C3">
              <w:rPr>
                <w:rFonts w:ascii="Times New Roman" w:hAnsi="Times New Roman"/>
              </w:rPr>
              <w:t>Mehmet</w:t>
            </w:r>
          </w:p>
        </w:tc>
        <w:tc>
          <w:tcPr>
            <w:tcW w:w="0" w:type="auto"/>
            <w:vAlign w:val="center"/>
          </w:tcPr>
          <w:p w14:paraId="098B1931" w14:textId="77777777" w:rsidR="00F979A5" w:rsidRPr="005650C3" w:rsidRDefault="00F979A5" w:rsidP="00AC74B6">
            <w:pPr>
              <w:spacing w:line="360" w:lineRule="auto"/>
              <w:rPr>
                <w:rFonts w:ascii="Times New Roman" w:hAnsi="Times New Roman"/>
              </w:rPr>
            </w:pPr>
            <w:r w:rsidRPr="005650C3">
              <w:rPr>
                <w:rFonts w:ascii="Times New Roman" w:hAnsi="Times New Roman"/>
              </w:rPr>
              <w:t xml:space="preserve">Female </w:t>
            </w:r>
          </w:p>
        </w:tc>
      </w:tr>
      <w:tr w:rsidR="00F979A5" w:rsidRPr="005650C3" w14:paraId="086FB3CF" w14:textId="77777777" w:rsidTr="00AC74B6">
        <w:tblPrEx>
          <w:tblLook w:val="0000" w:firstRow="0" w:lastRow="0" w:firstColumn="0" w:lastColumn="0" w:noHBand="0" w:noVBand="0"/>
        </w:tblPrEx>
        <w:trPr>
          <w:trHeight w:val="720"/>
          <w:jc w:val="center"/>
        </w:trPr>
        <w:tc>
          <w:tcPr>
            <w:tcW w:w="0" w:type="auto"/>
          </w:tcPr>
          <w:p w14:paraId="42598DB5" w14:textId="77777777" w:rsidR="00F979A5" w:rsidRPr="005650C3" w:rsidRDefault="00F979A5" w:rsidP="00AC74B6">
            <w:pPr>
              <w:spacing w:line="360" w:lineRule="auto"/>
              <w:rPr>
                <w:rFonts w:ascii="Times New Roman" w:hAnsi="Times New Roman"/>
              </w:rPr>
            </w:pPr>
            <w:r w:rsidRPr="005650C3">
              <w:rPr>
                <w:rFonts w:ascii="Times New Roman" w:hAnsi="Times New Roman"/>
              </w:rPr>
              <w:t xml:space="preserve">        Directorate of General Status of Women</w:t>
            </w:r>
          </w:p>
        </w:tc>
        <w:tc>
          <w:tcPr>
            <w:tcW w:w="0" w:type="auto"/>
          </w:tcPr>
          <w:p w14:paraId="009E2110" w14:textId="77777777" w:rsidR="00F979A5" w:rsidRPr="005650C3" w:rsidRDefault="00F979A5" w:rsidP="00AC74B6">
            <w:pPr>
              <w:spacing w:line="360" w:lineRule="auto"/>
              <w:rPr>
                <w:rFonts w:ascii="Times New Roman" w:hAnsi="Times New Roman"/>
              </w:rPr>
            </w:pPr>
            <w:r w:rsidRPr="005650C3">
              <w:rPr>
                <w:rFonts w:ascii="Times New Roman" w:hAnsi="Times New Roman"/>
              </w:rPr>
              <w:t>Nesrin</w:t>
            </w:r>
          </w:p>
        </w:tc>
        <w:tc>
          <w:tcPr>
            <w:tcW w:w="0" w:type="auto"/>
          </w:tcPr>
          <w:p w14:paraId="4D672127" w14:textId="77777777" w:rsidR="00F979A5" w:rsidRPr="005650C3" w:rsidRDefault="00F979A5" w:rsidP="00AC74B6">
            <w:pPr>
              <w:spacing w:line="360" w:lineRule="auto"/>
              <w:rPr>
                <w:rFonts w:ascii="Times New Roman" w:hAnsi="Times New Roman"/>
              </w:rPr>
            </w:pPr>
            <w:r w:rsidRPr="005650C3">
              <w:rPr>
                <w:rFonts w:ascii="Times New Roman" w:hAnsi="Times New Roman"/>
              </w:rPr>
              <w:t xml:space="preserve">Female </w:t>
            </w:r>
          </w:p>
        </w:tc>
      </w:tr>
    </w:tbl>
    <w:p w14:paraId="5C517BB9" w14:textId="77777777" w:rsidR="00865902" w:rsidRDefault="00865902" w:rsidP="00865902">
      <w:pPr>
        <w:ind w:right="-489"/>
        <w:jc w:val="both"/>
        <w:rPr>
          <w:rFonts w:ascii="Times New Roman" w:hAnsi="Times New Roman" w:cs="Times New Roman"/>
          <w:b/>
        </w:rPr>
      </w:pPr>
    </w:p>
    <w:p w14:paraId="3F57B819" w14:textId="77777777" w:rsidR="00685EF6" w:rsidRPr="00865902" w:rsidRDefault="00685EF6" w:rsidP="00865902">
      <w:pPr>
        <w:ind w:right="-489"/>
        <w:jc w:val="both"/>
        <w:rPr>
          <w:rFonts w:ascii="Times New Roman" w:hAnsi="Times New Roman" w:cs="Times New Roman"/>
          <w:b/>
        </w:rPr>
      </w:pPr>
    </w:p>
    <w:p w14:paraId="0646BC69" w14:textId="54F5AD2C" w:rsidR="00DF1815" w:rsidRDefault="00D15CEA" w:rsidP="00CE2B18">
      <w:pPr>
        <w:pStyle w:val="ListParagraph"/>
        <w:numPr>
          <w:ilvl w:val="0"/>
          <w:numId w:val="1"/>
        </w:numPr>
        <w:spacing w:line="360" w:lineRule="auto"/>
        <w:ind w:right="-489"/>
        <w:jc w:val="both"/>
        <w:rPr>
          <w:rFonts w:ascii="Times New Roman" w:hAnsi="Times New Roman" w:cs="Times New Roman"/>
          <w:b/>
        </w:rPr>
      </w:pPr>
      <w:r>
        <w:rPr>
          <w:rFonts w:ascii="Times New Roman" w:hAnsi="Times New Roman" w:cs="Times New Roman"/>
          <w:b/>
        </w:rPr>
        <w:t>Discussion of</w:t>
      </w:r>
      <w:r w:rsidR="006E0964">
        <w:rPr>
          <w:rFonts w:ascii="Times New Roman" w:hAnsi="Times New Roman" w:cs="Times New Roman"/>
          <w:b/>
        </w:rPr>
        <w:t xml:space="preserve"> Findings</w:t>
      </w:r>
    </w:p>
    <w:p w14:paraId="43EFE222" w14:textId="4E0D86BF" w:rsidR="00DF1815" w:rsidRDefault="00CE2B18" w:rsidP="00CE2B18">
      <w:pPr>
        <w:spacing w:line="360" w:lineRule="auto"/>
        <w:ind w:left="-567" w:right="-489"/>
        <w:jc w:val="both"/>
        <w:rPr>
          <w:rFonts w:ascii="Times New Roman" w:hAnsi="Times New Roman"/>
        </w:rPr>
      </w:pPr>
      <w:r w:rsidRPr="00CE2B18">
        <w:rPr>
          <w:rFonts w:ascii="Times New Roman" w:hAnsi="Times New Roman" w:cs="Times New Roman"/>
        </w:rPr>
        <w:t xml:space="preserve">Based on the </w:t>
      </w:r>
      <w:r>
        <w:rPr>
          <w:rFonts w:ascii="Times New Roman" w:hAnsi="Times New Roman" w:cs="Times New Roman"/>
        </w:rPr>
        <w:t xml:space="preserve">comments gathered from the respondents, </w:t>
      </w:r>
      <w:r w:rsidR="004F226F">
        <w:rPr>
          <w:rFonts w:ascii="Times New Roman" w:hAnsi="Times New Roman" w:cs="Times New Roman"/>
        </w:rPr>
        <w:t xml:space="preserve">it was discovered that </w:t>
      </w:r>
      <w:r w:rsidR="0067677B">
        <w:rPr>
          <w:rFonts w:ascii="Times New Roman" w:hAnsi="Times New Roman" w:cs="Times New Roman"/>
        </w:rPr>
        <w:t xml:space="preserve">with respect to </w:t>
      </w:r>
      <w:r w:rsidR="0067677B" w:rsidRPr="00F65EEF">
        <w:rPr>
          <w:rFonts w:ascii="Times New Roman" w:hAnsi="Times New Roman" w:cs="Times New Roman"/>
          <w:b/>
        </w:rPr>
        <w:t>the EU being a driving force in the determination of Turkey’s employment policy decision,</w:t>
      </w:r>
      <w:r w:rsidR="0067677B">
        <w:rPr>
          <w:rFonts w:ascii="Times New Roman" w:hAnsi="Times New Roman" w:cs="Times New Roman"/>
        </w:rPr>
        <w:t xml:space="preserve"> </w:t>
      </w:r>
      <w:r w:rsidR="00AC74B6" w:rsidRPr="005650C3">
        <w:rPr>
          <w:rFonts w:ascii="Times New Roman" w:hAnsi="Times New Roman"/>
        </w:rPr>
        <w:t>the EU was not a driving force in determining Turkey’s gender employment and labour policy decision, but rather, the Turkish government was solely responsible for this.</w:t>
      </w:r>
    </w:p>
    <w:p w14:paraId="2A7AA737" w14:textId="77777777" w:rsidR="00F65EEF" w:rsidRDefault="00F65EEF" w:rsidP="00CE2B18">
      <w:pPr>
        <w:spacing w:line="360" w:lineRule="auto"/>
        <w:ind w:left="-567" w:right="-489"/>
        <w:jc w:val="both"/>
        <w:rPr>
          <w:rFonts w:ascii="Times New Roman" w:hAnsi="Times New Roman"/>
        </w:rPr>
      </w:pPr>
    </w:p>
    <w:p w14:paraId="74F9BD59" w14:textId="768FD859" w:rsidR="00F65EEF" w:rsidRDefault="00F65EEF" w:rsidP="00F65EEF">
      <w:pPr>
        <w:spacing w:line="360" w:lineRule="auto"/>
        <w:ind w:left="-567" w:right="-489"/>
        <w:jc w:val="both"/>
        <w:rPr>
          <w:rFonts w:ascii="Times New Roman" w:hAnsi="Times New Roman" w:cs="Times New Roman"/>
        </w:rPr>
      </w:pPr>
      <w:r>
        <w:rPr>
          <w:rFonts w:ascii="Times New Roman" w:hAnsi="Times New Roman"/>
        </w:rPr>
        <w:t xml:space="preserve">Moving further, with regards to </w:t>
      </w:r>
      <w:r>
        <w:rPr>
          <w:rFonts w:ascii="Times New Roman" w:hAnsi="Times New Roman" w:cs="Times New Roman"/>
          <w:b/>
          <w:lang w:val="en-GB"/>
        </w:rPr>
        <w:t xml:space="preserve">measuring </w:t>
      </w:r>
      <w:r w:rsidRPr="005650C3">
        <w:rPr>
          <w:rFonts w:ascii="Times New Roman" w:hAnsi="Times New Roman" w:cs="Times New Roman"/>
          <w:b/>
          <w:lang w:val="en-GB"/>
        </w:rPr>
        <w:t xml:space="preserve">the progress report of Turkey’s gender employment policy by the EU and to </w:t>
      </w:r>
      <w:r w:rsidR="00862025">
        <w:rPr>
          <w:rFonts w:ascii="Times New Roman" w:hAnsi="Times New Roman" w:cs="Times New Roman"/>
          <w:b/>
          <w:lang w:val="en-GB"/>
        </w:rPr>
        <w:t>also the</w:t>
      </w:r>
      <w:r w:rsidRPr="005650C3">
        <w:rPr>
          <w:rFonts w:ascii="Times New Roman" w:hAnsi="Times New Roman" w:cs="Times New Roman"/>
          <w:b/>
          <w:lang w:val="en-GB"/>
        </w:rPr>
        <w:t xml:space="preserve"> extent </w:t>
      </w:r>
      <w:r w:rsidR="00862025">
        <w:rPr>
          <w:rFonts w:ascii="Times New Roman" w:hAnsi="Times New Roman" w:cs="Times New Roman"/>
          <w:b/>
          <w:lang w:val="en-GB"/>
        </w:rPr>
        <w:t>to which Turkey complies</w:t>
      </w:r>
      <w:r w:rsidRPr="005650C3">
        <w:rPr>
          <w:rFonts w:ascii="Times New Roman" w:hAnsi="Times New Roman" w:cs="Times New Roman"/>
          <w:b/>
          <w:lang w:val="en-GB"/>
        </w:rPr>
        <w:t xml:space="preserve"> with the European Union’s standards in the area of gender equality</w:t>
      </w:r>
      <w:r w:rsidR="00862025">
        <w:rPr>
          <w:rFonts w:ascii="Times New Roman" w:hAnsi="Times New Roman" w:cs="Times New Roman"/>
          <w:b/>
          <w:lang w:val="en-GB"/>
        </w:rPr>
        <w:t xml:space="preserve">, </w:t>
      </w:r>
      <w:r w:rsidR="00862025">
        <w:rPr>
          <w:rFonts w:ascii="Times New Roman" w:hAnsi="Times New Roman" w:cs="Times New Roman"/>
          <w:lang w:val="en-GB"/>
        </w:rPr>
        <w:t xml:space="preserve">the findings reveal that </w:t>
      </w:r>
      <w:r w:rsidR="00A240B9" w:rsidRPr="005650C3">
        <w:rPr>
          <w:rFonts w:ascii="Times New Roman" w:hAnsi="Times New Roman" w:cs="Times New Roman"/>
        </w:rPr>
        <w:t>Turkey was in charge of determining her employment laws and policies and was not dependent neither was the country abiding by the stipulations contained in the EU’s Gender Employment Regime.</w:t>
      </w:r>
      <w:r w:rsidR="00A240B9">
        <w:rPr>
          <w:rFonts w:ascii="Times New Roman" w:hAnsi="Times New Roman" w:cs="Times New Roman"/>
        </w:rPr>
        <w:t xml:space="preserve"> It was also discovered that </w:t>
      </w:r>
      <w:r w:rsidR="006301B3">
        <w:rPr>
          <w:rFonts w:ascii="Times New Roman" w:hAnsi="Times New Roman" w:cs="Times New Roman"/>
        </w:rPr>
        <w:t xml:space="preserve">there existed no degree of compliance by Turkey to the EU Gender Employment Regime. </w:t>
      </w:r>
    </w:p>
    <w:p w14:paraId="07611F7F" w14:textId="77777777" w:rsidR="000A223C" w:rsidRDefault="000A223C" w:rsidP="00F65EEF">
      <w:pPr>
        <w:spacing w:line="360" w:lineRule="auto"/>
        <w:ind w:left="-567" w:right="-489"/>
        <w:jc w:val="both"/>
        <w:rPr>
          <w:rFonts w:ascii="Times New Roman" w:hAnsi="Times New Roman" w:cs="Times New Roman"/>
        </w:rPr>
      </w:pPr>
    </w:p>
    <w:p w14:paraId="3401F1BA" w14:textId="2E827944" w:rsidR="000A223C" w:rsidRDefault="00424975" w:rsidP="00F65EEF">
      <w:pPr>
        <w:spacing w:line="360" w:lineRule="auto"/>
        <w:ind w:left="-567" w:right="-489"/>
        <w:jc w:val="both"/>
        <w:rPr>
          <w:rFonts w:ascii="Times New Roman" w:hAnsi="Times New Roman"/>
        </w:rPr>
      </w:pPr>
      <w:r>
        <w:rPr>
          <w:rFonts w:ascii="Times New Roman" w:hAnsi="Times New Roman"/>
        </w:rPr>
        <w:t xml:space="preserve">In the area of the </w:t>
      </w:r>
      <w:r w:rsidRPr="005650C3">
        <w:rPr>
          <w:rFonts w:ascii="Times New Roman" w:hAnsi="Times New Roman" w:cs="Times New Roman"/>
          <w:b/>
          <w:lang w:val="en-GB"/>
        </w:rPr>
        <w:t>biggest problems of Turkey’s gender employment policy</w:t>
      </w:r>
      <w:r>
        <w:rPr>
          <w:rFonts w:ascii="Times New Roman" w:hAnsi="Times New Roman" w:cs="Times New Roman"/>
          <w:b/>
          <w:lang w:val="en-GB"/>
        </w:rPr>
        <w:t xml:space="preserve">, </w:t>
      </w:r>
      <w:r>
        <w:rPr>
          <w:rFonts w:ascii="Times New Roman" w:hAnsi="Times New Roman" w:cs="Times New Roman"/>
          <w:lang w:val="en-GB"/>
        </w:rPr>
        <w:t xml:space="preserve">this study discovered that </w:t>
      </w:r>
      <w:r w:rsidR="00C87AFB" w:rsidRPr="005650C3">
        <w:rPr>
          <w:rFonts w:ascii="Times New Roman" w:hAnsi="Times New Roman"/>
        </w:rPr>
        <w:t xml:space="preserve">some of the </w:t>
      </w:r>
      <w:r w:rsidR="00C87AFB">
        <w:rPr>
          <w:rFonts w:ascii="Times New Roman" w:hAnsi="Times New Roman"/>
        </w:rPr>
        <w:t xml:space="preserve">major </w:t>
      </w:r>
      <w:r w:rsidR="00C87AFB" w:rsidRPr="005650C3">
        <w:rPr>
          <w:rFonts w:ascii="Times New Roman" w:hAnsi="Times New Roman"/>
        </w:rPr>
        <w:t xml:space="preserve">factors that </w:t>
      </w:r>
      <w:r w:rsidR="00C87AFB">
        <w:rPr>
          <w:rFonts w:ascii="Times New Roman" w:hAnsi="Times New Roman"/>
        </w:rPr>
        <w:t xml:space="preserve">caused </w:t>
      </w:r>
      <w:r w:rsidR="00C87AFB" w:rsidRPr="005650C3">
        <w:rPr>
          <w:rFonts w:ascii="Times New Roman" w:hAnsi="Times New Roman"/>
        </w:rPr>
        <w:t>gender imbalance in Turkey’s labour force include: Turkey’s tradition and culture; a patriarchal society; religion and tradition; Turkey’s adoption of the Middle Eastern cultures and beliefs.</w:t>
      </w:r>
    </w:p>
    <w:p w14:paraId="1C82105D" w14:textId="77777777" w:rsidR="00DE3403" w:rsidRDefault="00DE3403" w:rsidP="00F65EEF">
      <w:pPr>
        <w:spacing w:line="360" w:lineRule="auto"/>
        <w:ind w:left="-567" w:right="-489"/>
        <w:jc w:val="both"/>
        <w:rPr>
          <w:rFonts w:ascii="Times New Roman" w:hAnsi="Times New Roman"/>
        </w:rPr>
      </w:pPr>
    </w:p>
    <w:p w14:paraId="1CCB7262" w14:textId="70736E65" w:rsidR="00DF1815" w:rsidRPr="00964F89" w:rsidRDefault="00DE3403" w:rsidP="00964F89">
      <w:pPr>
        <w:spacing w:line="360" w:lineRule="auto"/>
        <w:ind w:left="-567" w:right="-489"/>
        <w:jc w:val="both"/>
        <w:rPr>
          <w:rFonts w:ascii="Times New Roman" w:hAnsi="Times New Roman"/>
        </w:rPr>
      </w:pPr>
      <w:r>
        <w:rPr>
          <w:rFonts w:ascii="Times New Roman" w:hAnsi="Times New Roman"/>
        </w:rPr>
        <w:t xml:space="preserve">In conclusion, in the area of measuring the </w:t>
      </w:r>
      <w:r w:rsidRPr="005650C3">
        <w:rPr>
          <w:rFonts w:ascii="Times New Roman" w:hAnsi="Times New Roman" w:cs="Times New Roman"/>
          <w:b/>
          <w:lang w:val="en-GB"/>
        </w:rPr>
        <w:t>impact of the European Union’s Gender Equality Regime in Turkey’s employment patterns, especially in practice</w:t>
      </w:r>
      <w:r w:rsidR="00624546">
        <w:rPr>
          <w:rFonts w:ascii="Times New Roman" w:hAnsi="Times New Roman" w:cs="Times New Roman"/>
          <w:b/>
          <w:lang w:val="en-GB"/>
        </w:rPr>
        <w:t xml:space="preserve"> </w:t>
      </w:r>
      <w:r w:rsidRPr="005650C3">
        <w:rPr>
          <w:rFonts w:ascii="Times New Roman" w:hAnsi="Times New Roman" w:cs="Times New Roman"/>
          <w:b/>
          <w:lang w:val="en-GB"/>
        </w:rPr>
        <w:t xml:space="preserve">and </w:t>
      </w:r>
      <w:r w:rsidR="00624546">
        <w:rPr>
          <w:rFonts w:ascii="Times New Roman" w:hAnsi="Times New Roman" w:cs="Times New Roman"/>
          <w:b/>
          <w:lang w:val="en-GB"/>
        </w:rPr>
        <w:t xml:space="preserve">also measuring the </w:t>
      </w:r>
      <w:r w:rsidRPr="005650C3">
        <w:rPr>
          <w:rFonts w:ascii="Times New Roman" w:hAnsi="Times New Roman" w:cs="Times New Roman"/>
          <w:b/>
          <w:lang w:val="en-GB"/>
        </w:rPr>
        <w:t>effective</w:t>
      </w:r>
      <w:r w:rsidR="00624546">
        <w:rPr>
          <w:rFonts w:ascii="Times New Roman" w:hAnsi="Times New Roman" w:cs="Times New Roman"/>
          <w:b/>
          <w:lang w:val="en-GB"/>
        </w:rPr>
        <w:t xml:space="preserve">ness of </w:t>
      </w:r>
      <w:r w:rsidRPr="005650C3">
        <w:rPr>
          <w:rFonts w:ascii="Times New Roman" w:hAnsi="Times New Roman" w:cs="Times New Roman"/>
          <w:b/>
          <w:lang w:val="en-GB"/>
        </w:rPr>
        <w:t>the European Union’s Gender Equality Regime in achieving gender equality among member nations</w:t>
      </w:r>
      <w:r w:rsidR="00624546">
        <w:rPr>
          <w:rFonts w:ascii="Times New Roman" w:hAnsi="Times New Roman" w:cs="Times New Roman"/>
          <w:b/>
          <w:lang w:val="en-GB"/>
        </w:rPr>
        <w:t xml:space="preserve">, </w:t>
      </w:r>
      <w:r w:rsidR="003751F1">
        <w:rPr>
          <w:rFonts w:ascii="Times New Roman" w:hAnsi="Times New Roman" w:cs="Times New Roman"/>
          <w:lang w:val="en-GB"/>
        </w:rPr>
        <w:t xml:space="preserve">this paper discovered that </w:t>
      </w:r>
      <w:r w:rsidR="00A956DA" w:rsidRPr="005650C3">
        <w:rPr>
          <w:rFonts w:ascii="Times New Roman" w:hAnsi="Times New Roman" w:cs="Times New Roman"/>
        </w:rPr>
        <w:t>in spite of the existence of the European Union’s Gender Employment Regime, its recommendations did not create any significance or impact in Turkey’s employment landscape, policies or employment patterns.</w:t>
      </w:r>
      <w:r w:rsidR="00A956DA">
        <w:rPr>
          <w:rFonts w:ascii="Times New Roman" w:hAnsi="Times New Roman" w:cs="Times New Roman"/>
        </w:rPr>
        <w:t xml:space="preserve"> While simultaneously </w:t>
      </w:r>
      <w:r w:rsidR="00964F89">
        <w:rPr>
          <w:rFonts w:ascii="Times New Roman" w:hAnsi="Times New Roman" w:cs="Times New Roman"/>
        </w:rPr>
        <w:t>also discovering</w:t>
      </w:r>
      <w:r w:rsidR="00CD477E">
        <w:rPr>
          <w:rFonts w:ascii="Times New Roman" w:hAnsi="Times New Roman" w:cs="Times New Roman"/>
        </w:rPr>
        <w:t xml:space="preserve"> that</w:t>
      </w:r>
      <w:r w:rsidR="00964F89">
        <w:rPr>
          <w:rFonts w:ascii="Times New Roman" w:hAnsi="Times New Roman" w:cs="Times New Roman"/>
        </w:rPr>
        <w:t xml:space="preserve"> </w:t>
      </w:r>
      <w:r w:rsidR="00964F89" w:rsidRPr="005650C3">
        <w:rPr>
          <w:rFonts w:ascii="Times New Roman" w:hAnsi="Times New Roman" w:cs="Times New Roman"/>
        </w:rPr>
        <w:t xml:space="preserve">the EU’s Gender Employment Regime was no longer effective in facilitating gender equality among all of her member nations, as the union did not possess a mechanism that could enforce compliance to the recommendations of the regime. </w:t>
      </w:r>
      <w:r w:rsidR="00CD477E">
        <w:rPr>
          <w:rFonts w:ascii="Times New Roman" w:hAnsi="Times New Roman" w:cs="Times New Roman"/>
        </w:rPr>
        <w:t xml:space="preserve"> </w:t>
      </w:r>
    </w:p>
    <w:p w14:paraId="34253C78" w14:textId="77777777" w:rsidR="00DF1815" w:rsidRPr="00DF1815" w:rsidRDefault="00DF1815" w:rsidP="00DF1815">
      <w:pPr>
        <w:ind w:right="-489"/>
        <w:jc w:val="both"/>
        <w:rPr>
          <w:rFonts w:ascii="Times New Roman" w:hAnsi="Times New Roman" w:cs="Times New Roman"/>
          <w:b/>
        </w:rPr>
      </w:pPr>
    </w:p>
    <w:p w14:paraId="4727700E" w14:textId="4F02ADCA" w:rsidR="00F06812" w:rsidRDefault="00F06812" w:rsidP="006A554D">
      <w:pPr>
        <w:pStyle w:val="ListParagraph"/>
        <w:numPr>
          <w:ilvl w:val="0"/>
          <w:numId w:val="1"/>
        </w:numPr>
        <w:spacing w:line="360" w:lineRule="auto"/>
        <w:ind w:right="-489"/>
        <w:jc w:val="both"/>
        <w:rPr>
          <w:rFonts w:ascii="Times New Roman" w:hAnsi="Times New Roman" w:cs="Times New Roman"/>
          <w:b/>
        </w:rPr>
      </w:pPr>
      <w:r>
        <w:rPr>
          <w:rFonts w:ascii="Times New Roman" w:hAnsi="Times New Roman" w:cs="Times New Roman"/>
          <w:b/>
        </w:rPr>
        <w:t>Conclusions</w:t>
      </w:r>
    </w:p>
    <w:p w14:paraId="634EE3BC" w14:textId="0F1B7187" w:rsidR="00910863" w:rsidRDefault="00E65C2C" w:rsidP="00FB7DB0">
      <w:pPr>
        <w:spacing w:line="360" w:lineRule="auto"/>
        <w:ind w:left="-567" w:right="-489"/>
        <w:jc w:val="both"/>
        <w:rPr>
          <w:rFonts w:ascii="Times New Roman" w:hAnsi="Times New Roman" w:cs="Times New Roman"/>
        </w:rPr>
      </w:pPr>
      <w:r w:rsidRPr="006A554D">
        <w:rPr>
          <w:rFonts w:ascii="Times New Roman" w:hAnsi="Times New Roman" w:cs="Times New Roman"/>
        </w:rPr>
        <w:t xml:space="preserve">In line with the objectives of this paper, </w:t>
      </w:r>
      <w:r w:rsidR="00910863">
        <w:rPr>
          <w:rFonts w:ascii="Times New Roman" w:hAnsi="Times New Roman" w:cs="Times New Roman"/>
        </w:rPr>
        <w:t>this study reached the conclusions below:</w:t>
      </w:r>
      <w:r w:rsidR="009E02C7">
        <w:rPr>
          <w:rFonts w:ascii="Times New Roman" w:hAnsi="Times New Roman" w:cs="Times New Roman"/>
        </w:rPr>
        <w:t xml:space="preserve"> </w:t>
      </w:r>
    </w:p>
    <w:p w14:paraId="44A632C6" w14:textId="77777777" w:rsidR="00963C95" w:rsidRPr="00963C95" w:rsidRDefault="009778A4" w:rsidP="00963C95">
      <w:pPr>
        <w:pStyle w:val="ListParagraph"/>
        <w:numPr>
          <w:ilvl w:val="0"/>
          <w:numId w:val="6"/>
        </w:numPr>
        <w:spacing w:line="360" w:lineRule="auto"/>
        <w:ind w:right="-489"/>
        <w:jc w:val="both"/>
        <w:rPr>
          <w:rFonts w:ascii="Times New Roman" w:hAnsi="Times New Roman" w:cs="Times New Roman"/>
        </w:rPr>
      </w:pPr>
      <w:r w:rsidRPr="009778A4">
        <w:rPr>
          <w:rFonts w:ascii="Times New Roman" w:hAnsi="Times New Roman" w:cs="Times New Roman"/>
        </w:rPr>
        <w:t>That</w:t>
      </w:r>
      <w:r>
        <w:rPr>
          <w:rFonts w:ascii="Times New Roman" w:hAnsi="Times New Roman" w:cs="Times New Roman"/>
        </w:rPr>
        <w:t xml:space="preserve"> </w:t>
      </w:r>
      <w:r w:rsidRPr="009778A4">
        <w:rPr>
          <w:rFonts w:ascii="Times New Roman" w:hAnsi="Times New Roman"/>
        </w:rPr>
        <w:t>since the EU’s loss of drive for promotion of gender equality issues, it ceased to be a driving force for determining employment policy decisions in Turkey, which took advantage of this situation and proceeded to commence the independent determination of her own employment policies and rules.</w:t>
      </w:r>
    </w:p>
    <w:p w14:paraId="587DBCFC" w14:textId="77777777" w:rsidR="00A84FA9" w:rsidRPr="00A84FA9" w:rsidRDefault="00A84FA9" w:rsidP="00A84FA9">
      <w:pPr>
        <w:pStyle w:val="ListParagraph"/>
        <w:spacing w:line="360" w:lineRule="auto"/>
        <w:ind w:left="-207" w:right="-489"/>
        <w:jc w:val="both"/>
        <w:rPr>
          <w:rFonts w:ascii="Times New Roman" w:hAnsi="Times New Roman" w:cs="Times New Roman"/>
        </w:rPr>
      </w:pPr>
    </w:p>
    <w:p w14:paraId="59015D65" w14:textId="36F6B4CA" w:rsidR="00232B5F" w:rsidRPr="00963C95" w:rsidRDefault="00232B5F" w:rsidP="00963C95">
      <w:pPr>
        <w:pStyle w:val="ListParagraph"/>
        <w:numPr>
          <w:ilvl w:val="0"/>
          <w:numId w:val="6"/>
        </w:numPr>
        <w:spacing w:line="360" w:lineRule="auto"/>
        <w:ind w:right="-489"/>
        <w:jc w:val="both"/>
        <w:rPr>
          <w:rFonts w:ascii="Times New Roman" w:hAnsi="Times New Roman" w:cs="Times New Roman"/>
        </w:rPr>
      </w:pPr>
      <w:r w:rsidRPr="00963C95">
        <w:rPr>
          <w:rFonts w:ascii="Times New Roman" w:hAnsi="Times New Roman" w:cs="Times New Roman"/>
          <w:lang w:val="en-GB"/>
        </w:rPr>
        <w:t>T</w:t>
      </w:r>
      <w:r w:rsidRPr="00963C95">
        <w:rPr>
          <w:rFonts w:ascii="Times New Roman" w:hAnsi="Times New Roman" w:cs="Times New Roman"/>
          <w:lang w:val="en-GB"/>
        </w:rPr>
        <w:t xml:space="preserve">hat </w:t>
      </w:r>
      <w:r w:rsidRPr="00963C95">
        <w:rPr>
          <w:rFonts w:ascii="Times New Roman" w:hAnsi="Times New Roman" w:cs="Times New Roman"/>
        </w:rPr>
        <w:t>Turkey is in charge of determining her employment laws and policies and is not dependent neither is the country abiding by the stipulations contained in the EU’s Gender Employment Regime. In addition, since the JDP took over Turkey’s government, it has continued to create employment laws and policies that further increased women’s roles as mothers and enforcers of family and home values.</w:t>
      </w:r>
      <w:r w:rsidRPr="00963C95">
        <w:rPr>
          <w:rFonts w:ascii="Times New Roman" w:hAnsi="Times New Roman" w:cs="Times New Roman"/>
        </w:rPr>
        <w:t xml:space="preserve"> And that </w:t>
      </w:r>
      <w:r w:rsidRPr="00963C95">
        <w:rPr>
          <w:rFonts w:ascii="Times New Roman" w:hAnsi="Times New Roman" w:cs="Times New Roman"/>
        </w:rPr>
        <w:t>Turkey’s progress report in terms of her adherence to the EU’s Gender Employment Regime is really low, as Turkey is self-reliant in the determination of her employment laws, policies and regime and to no degree practice the EU’s Gender Employment Regime.</w:t>
      </w:r>
    </w:p>
    <w:p w14:paraId="22E37CF4" w14:textId="77777777" w:rsidR="00133FE3" w:rsidRPr="00133FE3" w:rsidRDefault="00133FE3" w:rsidP="00133FE3">
      <w:pPr>
        <w:pStyle w:val="ListParagraph"/>
        <w:spacing w:line="360" w:lineRule="auto"/>
        <w:ind w:left="-207" w:right="-489"/>
        <w:jc w:val="both"/>
        <w:rPr>
          <w:rFonts w:ascii="Times New Roman" w:hAnsi="Times New Roman"/>
        </w:rPr>
      </w:pPr>
    </w:p>
    <w:p w14:paraId="1450F59F" w14:textId="5936A3C9" w:rsidR="00A84FA9" w:rsidRPr="00A84FA9" w:rsidRDefault="00BF5484" w:rsidP="00A84FA9">
      <w:pPr>
        <w:pStyle w:val="ListParagraph"/>
        <w:numPr>
          <w:ilvl w:val="0"/>
          <w:numId w:val="6"/>
        </w:numPr>
        <w:spacing w:line="360" w:lineRule="auto"/>
        <w:ind w:right="-489"/>
        <w:jc w:val="both"/>
        <w:rPr>
          <w:rFonts w:ascii="Times New Roman" w:hAnsi="Times New Roman"/>
        </w:rPr>
      </w:pPr>
      <w:r>
        <w:rPr>
          <w:rFonts w:ascii="Times New Roman" w:hAnsi="Times New Roman" w:cs="Times New Roman"/>
          <w:lang w:val="en-GB"/>
        </w:rPr>
        <w:t>T</w:t>
      </w:r>
      <w:r w:rsidR="00A84FA9" w:rsidRPr="00A84FA9">
        <w:rPr>
          <w:rFonts w:ascii="Times New Roman" w:hAnsi="Times New Roman" w:cs="Times New Roman"/>
          <w:lang w:val="en-GB"/>
        </w:rPr>
        <w:t xml:space="preserve">hat </w:t>
      </w:r>
      <w:r w:rsidR="00A84FA9" w:rsidRPr="00A84FA9">
        <w:rPr>
          <w:rFonts w:ascii="Times New Roman" w:hAnsi="Times New Roman"/>
        </w:rPr>
        <w:t>some</w:t>
      </w:r>
      <w:r w:rsidR="00F64433">
        <w:rPr>
          <w:rFonts w:ascii="Times New Roman" w:hAnsi="Times New Roman"/>
        </w:rPr>
        <w:t xml:space="preserve"> of the factors that caused </w:t>
      </w:r>
      <w:r w:rsidR="00A84FA9" w:rsidRPr="00A84FA9">
        <w:rPr>
          <w:rFonts w:ascii="Times New Roman" w:hAnsi="Times New Roman"/>
        </w:rPr>
        <w:t xml:space="preserve">gender imbalance in Turkey’s labour force include: Turkey’s tradition and culture; a patriarchal society; religion and tradition; and Turkey’s adoption of the Middle Eastern cultures and beliefs. </w:t>
      </w:r>
    </w:p>
    <w:p w14:paraId="411B868C" w14:textId="77777777" w:rsidR="00BF5484" w:rsidRPr="00BF5484" w:rsidRDefault="00BF5484" w:rsidP="00BF5484">
      <w:pPr>
        <w:pStyle w:val="ListParagraph"/>
        <w:widowControl w:val="0"/>
        <w:autoSpaceDE w:val="0"/>
        <w:autoSpaceDN w:val="0"/>
        <w:adjustRightInd w:val="0"/>
        <w:spacing w:after="240" w:line="360" w:lineRule="auto"/>
        <w:ind w:left="-207" w:right="-489"/>
        <w:jc w:val="both"/>
        <w:rPr>
          <w:rFonts w:ascii="Times New Roman" w:hAnsi="Times New Roman" w:cs="Times New Roman"/>
        </w:rPr>
      </w:pPr>
    </w:p>
    <w:p w14:paraId="1AB31ED6" w14:textId="64342FD2" w:rsidR="00BF5484" w:rsidRPr="00BF5484" w:rsidRDefault="00BF5484" w:rsidP="00BF5484">
      <w:pPr>
        <w:pStyle w:val="ListParagraph"/>
        <w:widowControl w:val="0"/>
        <w:numPr>
          <w:ilvl w:val="0"/>
          <w:numId w:val="6"/>
        </w:numPr>
        <w:autoSpaceDE w:val="0"/>
        <w:autoSpaceDN w:val="0"/>
        <w:adjustRightInd w:val="0"/>
        <w:spacing w:after="240" w:line="360" w:lineRule="auto"/>
        <w:ind w:right="-489"/>
        <w:jc w:val="both"/>
        <w:rPr>
          <w:rFonts w:ascii="Times New Roman" w:hAnsi="Times New Roman" w:cs="Times New Roman"/>
        </w:rPr>
      </w:pPr>
      <w:r>
        <w:rPr>
          <w:rFonts w:ascii="Times New Roman" w:hAnsi="Times New Roman" w:cs="Times New Roman"/>
          <w:lang w:val="en-GB"/>
        </w:rPr>
        <w:t>T</w:t>
      </w:r>
      <w:r w:rsidRPr="00BF5484">
        <w:rPr>
          <w:rFonts w:ascii="Times New Roman" w:hAnsi="Times New Roman" w:cs="Times New Roman"/>
          <w:lang w:val="en-GB"/>
        </w:rPr>
        <w:t xml:space="preserve">hat </w:t>
      </w:r>
      <w:r w:rsidRPr="00BF5484">
        <w:rPr>
          <w:rFonts w:ascii="Times New Roman" w:hAnsi="Times New Roman" w:cs="Times New Roman"/>
        </w:rPr>
        <w:t>despite the existence of the European Union’s Gender Employment Regime, its recommendations did not create any significance or impact in Turkey’s employment landscape, policies or employment patterns and also that the EU’s Gender Employment Regime was no longer effective in facilitating gender equality among all of her member nations, as the union did not possess a mechanism that could enforce compliance to the recommendations of the regime.</w:t>
      </w:r>
    </w:p>
    <w:p w14:paraId="1C753F12" w14:textId="77777777" w:rsidR="00232B5F" w:rsidRPr="00232B5F" w:rsidRDefault="00232B5F" w:rsidP="00BF5484">
      <w:pPr>
        <w:pStyle w:val="ListParagraph"/>
        <w:widowControl w:val="0"/>
        <w:autoSpaceDE w:val="0"/>
        <w:autoSpaceDN w:val="0"/>
        <w:adjustRightInd w:val="0"/>
        <w:spacing w:after="240" w:line="360" w:lineRule="auto"/>
        <w:ind w:left="-207" w:right="-489"/>
        <w:jc w:val="both"/>
        <w:rPr>
          <w:rFonts w:ascii="Times New Roman" w:hAnsi="Times New Roman" w:cs="Times New Roman"/>
        </w:rPr>
      </w:pPr>
    </w:p>
    <w:p w14:paraId="41CD9CC4" w14:textId="6979B5B0" w:rsidR="009778A4" w:rsidRPr="009778A4" w:rsidRDefault="009778A4" w:rsidP="009778A4">
      <w:pPr>
        <w:spacing w:line="360" w:lineRule="auto"/>
        <w:ind w:right="-489"/>
        <w:jc w:val="both"/>
        <w:rPr>
          <w:rFonts w:ascii="Times New Roman" w:hAnsi="Times New Roman" w:cs="Times New Roman"/>
        </w:rPr>
      </w:pPr>
      <w:r w:rsidRPr="009778A4">
        <w:rPr>
          <w:rFonts w:ascii="Times New Roman" w:hAnsi="Times New Roman" w:cs="Times New Roman"/>
        </w:rPr>
        <w:t xml:space="preserve"> </w:t>
      </w:r>
    </w:p>
    <w:p w14:paraId="2A00D794" w14:textId="77777777" w:rsidR="00137E41" w:rsidRDefault="00137E41" w:rsidP="006A554D">
      <w:pPr>
        <w:widowControl w:val="0"/>
        <w:autoSpaceDE w:val="0"/>
        <w:autoSpaceDN w:val="0"/>
        <w:adjustRightInd w:val="0"/>
        <w:spacing w:after="240" w:line="360" w:lineRule="auto"/>
        <w:ind w:left="-567" w:right="-489"/>
        <w:jc w:val="both"/>
        <w:rPr>
          <w:rFonts w:ascii="Times New Roman" w:hAnsi="Times New Roman" w:cs="Times New Roman"/>
          <w:b/>
        </w:rPr>
      </w:pPr>
    </w:p>
    <w:p w14:paraId="7D5B1CD5" w14:textId="77777777" w:rsidR="00137E41" w:rsidRDefault="00137E41" w:rsidP="00137E41">
      <w:pPr>
        <w:widowControl w:val="0"/>
        <w:autoSpaceDE w:val="0"/>
        <w:autoSpaceDN w:val="0"/>
        <w:adjustRightInd w:val="0"/>
        <w:spacing w:after="240"/>
        <w:ind w:left="-567" w:right="-489"/>
        <w:jc w:val="both"/>
        <w:rPr>
          <w:rFonts w:ascii="Times New Roman" w:hAnsi="Times New Roman" w:cs="Times New Roman"/>
          <w:b/>
        </w:rPr>
      </w:pPr>
    </w:p>
    <w:p w14:paraId="2B6E0FF1" w14:textId="77777777" w:rsidR="00137E41" w:rsidRDefault="00137E41" w:rsidP="00137E41">
      <w:pPr>
        <w:widowControl w:val="0"/>
        <w:autoSpaceDE w:val="0"/>
        <w:autoSpaceDN w:val="0"/>
        <w:adjustRightInd w:val="0"/>
        <w:spacing w:after="240"/>
        <w:ind w:left="-567" w:right="-489"/>
        <w:jc w:val="both"/>
        <w:rPr>
          <w:rFonts w:ascii="Times New Roman" w:hAnsi="Times New Roman" w:cs="Times New Roman"/>
          <w:b/>
        </w:rPr>
      </w:pPr>
    </w:p>
    <w:p w14:paraId="38664E11" w14:textId="77777777" w:rsidR="00137E41" w:rsidRDefault="00137E41" w:rsidP="00137E41">
      <w:pPr>
        <w:widowControl w:val="0"/>
        <w:autoSpaceDE w:val="0"/>
        <w:autoSpaceDN w:val="0"/>
        <w:adjustRightInd w:val="0"/>
        <w:spacing w:after="240"/>
        <w:ind w:left="-567" w:right="-489"/>
        <w:jc w:val="both"/>
        <w:rPr>
          <w:rFonts w:ascii="Times New Roman" w:hAnsi="Times New Roman" w:cs="Times New Roman"/>
          <w:b/>
        </w:rPr>
      </w:pPr>
    </w:p>
    <w:p w14:paraId="47CDC0E3" w14:textId="77777777" w:rsidR="00137E41" w:rsidRDefault="00137E41" w:rsidP="00137E41">
      <w:pPr>
        <w:widowControl w:val="0"/>
        <w:autoSpaceDE w:val="0"/>
        <w:autoSpaceDN w:val="0"/>
        <w:adjustRightInd w:val="0"/>
        <w:spacing w:after="240"/>
        <w:ind w:left="-567" w:right="-489"/>
        <w:jc w:val="both"/>
        <w:rPr>
          <w:rFonts w:ascii="Times New Roman" w:hAnsi="Times New Roman" w:cs="Times New Roman"/>
          <w:b/>
        </w:rPr>
      </w:pPr>
    </w:p>
    <w:p w14:paraId="3B6D8EB8" w14:textId="77777777" w:rsidR="00137E41" w:rsidRDefault="00137E41" w:rsidP="00137E41">
      <w:pPr>
        <w:widowControl w:val="0"/>
        <w:autoSpaceDE w:val="0"/>
        <w:autoSpaceDN w:val="0"/>
        <w:adjustRightInd w:val="0"/>
        <w:spacing w:after="240"/>
        <w:ind w:left="-567" w:right="-489"/>
        <w:jc w:val="both"/>
        <w:rPr>
          <w:rFonts w:ascii="Times New Roman" w:hAnsi="Times New Roman" w:cs="Times New Roman"/>
          <w:b/>
        </w:rPr>
      </w:pPr>
    </w:p>
    <w:p w14:paraId="750902E8" w14:textId="77777777" w:rsidR="00137E41" w:rsidRDefault="00137E41" w:rsidP="00137E41">
      <w:pPr>
        <w:widowControl w:val="0"/>
        <w:autoSpaceDE w:val="0"/>
        <w:autoSpaceDN w:val="0"/>
        <w:adjustRightInd w:val="0"/>
        <w:spacing w:after="240"/>
        <w:ind w:left="-567" w:right="-489"/>
        <w:jc w:val="both"/>
        <w:rPr>
          <w:rFonts w:ascii="Times New Roman" w:hAnsi="Times New Roman" w:cs="Times New Roman"/>
          <w:b/>
        </w:rPr>
      </w:pPr>
    </w:p>
    <w:p w14:paraId="75C164DB" w14:textId="77777777" w:rsidR="00137E41" w:rsidRDefault="00137E41" w:rsidP="00137E41">
      <w:pPr>
        <w:widowControl w:val="0"/>
        <w:autoSpaceDE w:val="0"/>
        <w:autoSpaceDN w:val="0"/>
        <w:adjustRightInd w:val="0"/>
        <w:spacing w:after="240"/>
        <w:ind w:left="-567" w:right="-489"/>
        <w:jc w:val="both"/>
        <w:rPr>
          <w:rFonts w:ascii="Times New Roman" w:hAnsi="Times New Roman" w:cs="Times New Roman"/>
          <w:b/>
        </w:rPr>
      </w:pPr>
    </w:p>
    <w:p w14:paraId="17471907" w14:textId="77777777" w:rsidR="00137E41" w:rsidRDefault="00137E41" w:rsidP="00137E41">
      <w:pPr>
        <w:widowControl w:val="0"/>
        <w:autoSpaceDE w:val="0"/>
        <w:autoSpaceDN w:val="0"/>
        <w:adjustRightInd w:val="0"/>
        <w:spacing w:after="240"/>
        <w:ind w:left="-567" w:right="-489"/>
        <w:jc w:val="both"/>
        <w:rPr>
          <w:rFonts w:ascii="Times New Roman" w:hAnsi="Times New Roman" w:cs="Times New Roman"/>
          <w:b/>
        </w:rPr>
      </w:pPr>
    </w:p>
    <w:p w14:paraId="1D97D193" w14:textId="77777777" w:rsidR="00137E41" w:rsidRDefault="00137E41" w:rsidP="00137E41">
      <w:pPr>
        <w:widowControl w:val="0"/>
        <w:autoSpaceDE w:val="0"/>
        <w:autoSpaceDN w:val="0"/>
        <w:adjustRightInd w:val="0"/>
        <w:spacing w:after="240"/>
        <w:ind w:left="-567" w:right="-489"/>
        <w:jc w:val="both"/>
        <w:rPr>
          <w:rFonts w:ascii="Times New Roman" w:hAnsi="Times New Roman" w:cs="Times New Roman"/>
          <w:b/>
        </w:rPr>
      </w:pPr>
    </w:p>
    <w:p w14:paraId="644FB86F" w14:textId="77777777" w:rsidR="00137E41" w:rsidRDefault="00137E41" w:rsidP="00137E41">
      <w:pPr>
        <w:widowControl w:val="0"/>
        <w:autoSpaceDE w:val="0"/>
        <w:autoSpaceDN w:val="0"/>
        <w:adjustRightInd w:val="0"/>
        <w:spacing w:after="240"/>
        <w:ind w:left="-567" w:right="-489"/>
        <w:jc w:val="both"/>
        <w:rPr>
          <w:rFonts w:ascii="Times New Roman" w:hAnsi="Times New Roman" w:cs="Times New Roman"/>
          <w:b/>
        </w:rPr>
      </w:pPr>
    </w:p>
    <w:p w14:paraId="616377D4" w14:textId="77777777" w:rsidR="00137E41" w:rsidRDefault="00137E41" w:rsidP="00137E41">
      <w:pPr>
        <w:widowControl w:val="0"/>
        <w:autoSpaceDE w:val="0"/>
        <w:autoSpaceDN w:val="0"/>
        <w:adjustRightInd w:val="0"/>
        <w:spacing w:after="240"/>
        <w:ind w:left="-567" w:right="-489"/>
        <w:jc w:val="both"/>
        <w:rPr>
          <w:rFonts w:ascii="Times New Roman" w:hAnsi="Times New Roman" w:cs="Times New Roman"/>
          <w:b/>
        </w:rPr>
      </w:pPr>
    </w:p>
    <w:p w14:paraId="44C01BA4" w14:textId="77777777" w:rsidR="00137E41" w:rsidRDefault="00137E41" w:rsidP="00FF64B3">
      <w:pPr>
        <w:widowControl w:val="0"/>
        <w:autoSpaceDE w:val="0"/>
        <w:autoSpaceDN w:val="0"/>
        <w:adjustRightInd w:val="0"/>
        <w:spacing w:after="240"/>
        <w:ind w:right="-489"/>
        <w:jc w:val="both"/>
        <w:rPr>
          <w:rFonts w:ascii="Times New Roman" w:hAnsi="Times New Roman" w:cs="Times New Roman"/>
          <w:b/>
        </w:rPr>
      </w:pPr>
    </w:p>
    <w:p w14:paraId="18F1469C" w14:textId="77777777" w:rsidR="00137E41" w:rsidRDefault="00137E41" w:rsidP="00137E41">
      <w:pPr>
        <w:widowControl w:val="0"/>
        <w:autoSpaceDE w:val="0"/>
        <w:autoSpaceDN w:val="0"/>
        <w:adjustRightInd w:val="0"/>
        <w:spacing w:after="240"/>
        <w:ind w:left="-567" w:right="-489"/>
        <w:jc w:val="both"/>
        <w:rPr>
          <w:rFonts w:ascii="Times New Roman" w:hAnsi="Times New Roman" w:cs="Times New Roman"/>
          <w:b/>
        </w:rPr>
      </w:pPr>
    </w:p>
    <w:p w14:paraId="2ADEEFD5" w14:textId="77777777" w:rsidR="00FB7DB0" w:rsidRDefault="00FB7DB0" w:rsidP="00137E41">
      <w:pPr>
        <w:widowControl w:val="0"/>
        <w:autoSpaceDE w:val="0"/>
        <w:autoSpaceDN w:val="0"/>
        <w:adjustRightInd w:val="0"/>
        <w:spacing w:after="240"/>
        <w:ind w:left="-567" w:right="-489"/>
        <w:jc w:val="both"/>
        <w:rPr>
          <w:rFonts w:ascii="Times New Roman" w:hAnsi="Times New Roman" w:cs="Times New Roman"/>
          <w:b/>
        </w:rPr>
      </w:pPr>
    </w:p>
    <w:p w14:paraId="45A3832A" w14:textId="77777777" w:rsidR="00FB7DB0" w:rsidRDefault="00FB7DB0" w:rsidP="00137E41">
      <w:pPr>
        <w:widowControl w:val="0"/>
        <w:autoSpaceDE w:val="0"/>
        <w:autoSpaceDN w:val="0"/>
        <w:adjustRightInd w:val="0"/>
        <w:spacing w:after="240"/>
        <w:ind w:left="-567" w:right="-489"/>
        <w:jc w:val="both"/>
        <w:rPr>
          <w:rFonts w:ascii="Times New Roman" w:hAnsi="Times New Roman" w:cs="Times New Roman"/>
          <w:b/>
        </w:rPr>
      </w:pPr>
    </w:p>
    <w:p w14:paraId="2CEBB25C" w14:textId="77777777" w:rsidR="00FB7DB0" w:rsidRDefault="00FB7DB0" w:rsidP="00137E41">
      <w:pPr>
        <w:widowControl w:val="0"/>
        <w:autoSpaceDE w:val="0"/>
        <w:autoSpaceDN w:val="0"/>
        <w:adjustRightInd w:val="0"/>
        <w:spacing w:after="240"/>
        <w:ind w:left="-567" w:right="-489"/>
        <w:jc w:val="both"/>
        <w:rPr>
          <w:rFonts w:ascii="Times New Roman" w:hAnsi="Times New Roman" w:cs="Times New Roman"/>
          <w:b/>
        </w:rPr>
      </w:pPr>
    </w:p>
    <w:p w14:paraId="184BD262" w14:textId="77777777" w:rsidR="00BE296B" w:rsidRDefault="00137E41" w:rsidP="00BE296B">
      <w:pPr>
        <w:widowControl w:val="0"/>
        <w:autoSpaceDE w:val="0"/>
        <w:autoSpaceDN w:val="0"/>
        <w:adjustRightInd w:val="0"/>
        <w:spacing w:after="240"/>
        <w:ind w:left="-567" w:right="-489"/>
        <w:jc w:val="both"/>
        <w:rPr>
          <w:rFonts w:ascii="Times New Roman" w:hAnsi="Times New Roman" w:cs="Times New Roman"/>
          <w:b/>
        </w:rPr>
      </w:pPr>
      <w:r w:rsidRPr="00137E41">
        <w:rPr>
          <w:rFonts w:ascii="Times New Roman" w:hAnsi="Times New Roman" w:cs="Times New Roman"/>
          <w:b/>
        </w:rPr>
        <w:t>References</w:t>
      </w:r>
    </w:p>
    <w:p w14:paraId="31847DD2" w14:textId="77777777" w:rsidR="00942F69" w:rsidRPr="00942F69" w:rsidRDefault="00942F69" w:rsidP="000E12C7">
      <w:pPr>
        <w:widowControl w:val="0"/>
        <w:autoSpaceDE w:val="0"/>
        <w:autoSpaceDN w:val="0"/>
        <w:adjustRightInd w:val="0"/>
        <w:spacing w:after="240"/>
        <w:ind w:left="-567" w:right="-489"/>
        <w:jc w:val="both"/>
        <w:rPr>
          <w:rFonts w:ascii="Times New Roman" w:hAnsi="Times New Roman" w:cs="Times New Roman"/>
        </w:rPr>
      </w:pPr>
      <w:r w:rsidRPr="00942F69">
        <w:rPr>
          <w:rFonts w:ascii="Times New Roman" w:hAnsi="Times New Roman" w:cs="Times New Roman"/>
        </w:rPr>
        <w:t xml:space="preserve">Akser, M and Banu, B. (2012). Media and Democracy in Turkey: Toward A Model of Neoliberal Media Autocracy. </w:t>
      </w:r>
      <w:r w:rsidRPr="00942F69">
        <w:rPr>
          <w:rFonts w:ascii="Times New Roman" w:hAnsi="Times New Roman" w:cs="Times New Roman"/>
          <w:iCs/>
        </w:rPr>
        <w:t xml:space="preserve">Middle East Journal of Culture and Communication </w:t>
      </w:r>
      <w:r w:rsidRPr="00942F69">
        <w:rPr>
          <w:rFonts w:ascii="Times New Roman" w:hAnsi="Times New Roman" w:cs="Times New Roman"/>
        </w:rPr>
        <w:t xml:space="preserve">5, (p. 302–21). </w:t>
      </w:r>
    </w:p>
    <w:p w14:paraId="42DBBEF3" w14:textId="77777777" w:rsidR="00942F69" w:rsidRPr="00942F69" w:rsidRDefault="00942F69" w:rsidP="008A1300">
      <w:pPr>
        <w:widowControl w:val="0"/>
        <w:autoSpaceDE w:val="0"/>
        <w:autoSpaceDN w:val="0"/>
        <w:adjustRightInd w:val="0"/>
        <w:spacing w:after="240"/>
        <w:ind w:left="-567" w:right="-489"/>
        <w:jc w:val="both"/>
        <w:rPr>
          <w:rFonts w:ascii="Times New Roman" w:hAnsi="Times New Roman" w:cs="Times New Roman"/>
        </w:rPr>
      </w:pPr>
      <w:r w:rsidRPr="00942F69">
        <w:rPr>
          <w:rFonts w:ascii="Times New Roman" w:hAnsi="Times New Roman" w:cs="Times New Roman"/>
        </w:rPr>
        <w:t xml:space="preserve">Aldikacti-Marshall, G. (2013). </w:t>
      </w:r>
      <w:r w:rsidRPr="00942F69">
        <w:rPr>
          <w:rFonts w:ascii="Times New Roman" w:hAnsi="Times New Roman" w:cs="Times New Roman"/>
          <w:iCs/>
        </w:rPr>
        <w:t>Shaping Gender Policy in Turkey: Grassroots Women Activists, the European Union and the Turkish State</w:t>
      </w:r>
      <w:r w:rsidRPr="00942F69">
        <w:rPr>
          <w:rFonts w:ascii="Times New Roman" w:hAnsi="Times New Roman" w:cs="Times New Roman"/>
        </w:rPr>
        <w:t>. Albany: State University of New York Press. (2013).</w:t>
      </w:r>
    </w:p>
    <w:p w14:paraId="03394C12" w14:textId="77777777" w:rsidR="00942F69" w:rsidRPr="00942F69" w:rsidRDefault="00942F69" w:rsidP="008D6D15">
      <w:pPr>
        <w:widowControl w:val="0"/>
        <w:autoSpaceDE w:val="0"/>
        <w:autoSpaceDN w:val="0"/>
        <w:adjustRightInd w:val="0"/>
        <w:spacing w:after="240"/>
        <w:ind w:left="-567" w:right="-489"/>
        <w:jc w:val="both"/>
        <w:rPr>
          <w:rFonts w:ascii="Times New Roman" w:hAnsi="Times New Roman" w:cs="Times New Roman"/>
        </w:rPr>
      </w:pPr>
      <w:r w:rsidRPr="00942F69">
        <w:rPr>
          <w:rFonts w:ascii="Times New Roman" w:hAnsi="Times New Roman" w:cs="Times New Roman"/>
        </w:rPr>
        <w:t xml:space="preserve">Aybars, A, Copeland P and Tsarouhas (2018). </w:t>
      </w:r>
      <w:r w:rsidRPr="00942F69">
        <w:rPr>
          <w:rFonts w:ascii="Times New Roman" w:hAnsi="Times New Roman" w:cs="Times New Roman"/>
          <w:bCs/>
        </w:rPr>
        <w:t>Europeanization without Substance? EU–Turkey Relations and Gender Equality in Employment</w:t>
      </w:r>
      <w:r w:rsidRPr="00942F69">
        <w:rPr>
          <w:rFonts w:ascii="Times New Roman" w:hAnsi="Times New Roman" w:cs="Times New Roman"/>
          <w:b/>
          <w:bCs/>
        </w:rPr>
        <w:t xml:space="preserve">, </w:t>
      </w:r>
      <w:r w:rsidRPr="00942F69">
        <w:rPr>
          <w:rFonts w:ascii="Times New Roman" w:hAnsi="Times New Roman" w:cs="Times New Roman"/>
          <w:bCs/>
        </w:rPr>
        <w:t>Macmillan Publishers Limited.</w:t>
      </w:r>
    </w:p>
    <w:p w14:paraId="4827EF35" w14:textId="77777777" w:rsidR="00942F69" w:rsidRPr="00942F69" w:rsidRDefault="00942F69" w:rsidP="008A1300">
      <w:pPr>
        <w:widowControl w:val="0"/>
        <w:autoSpaceDE w:val="0"/>
        <w:autoSpaceDN w:val="0"/>
        <w:adjustRightInd w:val="0"/>
        <w:spacing w:after="240"/>
        <w:ind w:left="-567" w:right="-489"/>
        <w:jc w:val="both"/>
        <w:rPr>
          <w:rFonts w:ascii="Times New Roman" w:hAnsi="Times New Roman" w:cs="Times New Roman"/>
        </w:rPr>
      </w:pPr>
      <w:r w:rsidRPr="00942F69">
        <w:rPr>
          <w:rFonts w:ascii="Times New Roman" w:hAnsi="Times New Roman" w:cs="Times New Roman"/>
        </w:rPr>
        <w:t>Aybars, A. I and Tsarouhas, D. (2010). “Straddling Two Continents: Social Policy and Welfare Politics in Turkey. Social Policy and Administration, 44(6), p, 746-763.</w:t>
      </w:r>
    </w:p>
    <w:p w14:paraId="3F10A597" w14:textId="77777777" w:rsidR="00942F69" w:rsidRPr="00942F69" w:rsidRDefault="00942F69" w:rsidP="000E12C7">
      <w:pPr>
        <w:widowControl w:val="0"/>
        <w:autoSpaceDE w:val="0"/>
        <w:autoSpaceDN w:val="0"/>
        <w:adjustRightInd w:val="0"/>
        <w:spacing w:after="240"/>
        <w:ind w:left="-567" w:right="-489"/>
        <w:jc w:val="both"/>
        <w:rPr>
          <w:rFonts w:ascii="Times New Roman" w:hAnsi="Times New Roman" w:cs="Times New Roman"/>
        </w:rPr>
      </w:pPr>
      <w:r w:rsidRPr="00942F69">
        <w:rPr>
          <w:rFonts w:ascii="Times New Roman" w:hAnsi="Times New Roman" w:cs="Times New Roman"/>
        </w:rPr>
        <w:t xml:space="preserve">Dedeoglu, S. (2012). Equality, Protection or Discrimination: Gender equality Policies in Turkey. </w:t>
      </w:r>
      <w:r w:rsidRPr="00942F69">
        <w:rPr>
          <w:rFonts w:ascii="Times New Roman" w:hAnsi="Times New Roman" w:cs="Times New Roman"/>
          <w:iCs/>
        </w:rPr>
        <w:t xml:space="preserve">Social Politics: International Studies in Gender, State &amp; Society, </w:t>
      </w:r>
      <w:r w:rsidRPr="00942F69">
        <w:rPr>
          <w:rFonts w:ascii="Times New Roman" w:hAnsi="Times New Roman" w:cs="Times New Roman"/>
        </w:rPr>
        <w:t>19, (p. 269–90).</w:t>
      </w:r>
    </w:p>
    <w:p w14:paraId="7CAD5A75" w14:textId="77777777" w:rsidR="00942F69" w:rsidRPr="00942F69" w:rsidRDefault="00942F69" w:rsidP="008F568F">
      <w:pPr>
        <w:widowControl w:val="0"/>
        <w:autoSpaceDE w:val="0"/>
        <w:autoSpaceDN w:val="0"/>
        <w:adjustRightInd w:val="0"/>
        <w:spacing w:after="240"/>
        <w:ind w:left="-567" w:right="-489"/>
        <w:jc w:val="both"/>
        <w:rPr>
          <w:rFonts w:ascii="Times New Roman" w:hAnsi="Times New Roman" w:cs="Times New Roman"/>
          <w:b/>
        </w:rPr>
      </w:pPr>
      <w:r w:rsidRPr="00942F69">
        <w:rPr>
          <w:rFonts w:ascii="Times New Roman" w:hAnsi="Times New Roman" w:cs="Times New Roman"/>
        </w:rPr>
        <w:t>Deutsch, F. M. (2007). “Undoing Gender”. Gender &amp; Society, 21(1), p. 106-127.</w:t>
      </w:r>
    </w:p>
    <w:p w14:paraId="21743B15" w14:textId="77777777" w:rsidR="00942F69" w:rsidRPr="00942F69" w:rsidRDefault="00942F69" w:rsidP="008F568F">
      <w:pPr>
        <w:widowControl w:val="0"/>
        <w:autoSpaceDE w:val="0"/>
        <w:autoSpaceDN w:val="0"/>
        <w:adjustRightInd w:val="0"/>
        <w:spacing w:after="240"/>
        <w:ind w:left="-567" w:right="-489"/>
        <w:jc w:val="both"/>
        <w:rPr>
          <w:rFonts w:ascii="Times New Roman" w:hAnsi="Times New Roman" w:cs="Times New Roman"/>
          <w:b/>
        </w:rPr>
      </w:pPr>
      <w:r w:rsidRPr="00942F69">
        <w:rPr>
          <w:rFonts w:ascii="Times New Roman" w:hAnsi="Times New Roman" w:cs="Times New Roman"/>
        </w:rPr>
        <w:t xml:space="preserve">Ertürk, Y. (2005). “Considering the Role of Men in Gender Agenda Setting: Conceptual and Policy Issues”, </w:t>
      </w:r>
      <w:r w:rsidRPr="00942F69">
        <w:rPr>
          <w:rFonts w:ascii="Times New Roman" w:hAnsi="Times New Roman" w:cs="Times New Roman"/>
          <w:iCs/>
        </w:rPr>
        <w:t xml:space="preserve">Feminist Review, Vol, 78. </w:t>
      </w:r>
      <w:r w:rsidRPr="00942F69">
        <w:rPr>
          <w:rFonts w:ascii="Times New Roman" w:hAnsi="Times New Roman" w:cs="Times New Roman"/>
        </w:rPr>
        <w:t>p. 3-21.</w:t>
      </w:r>
    </w:p>
    <w:p w14:paraId="030B62C8" w14:textId="77777777" w:rsidR="00942F69" w:rsidRPr="00942F69" w:rsidRDefault="00942F69" w:rsidP="00C53319">
      <w:pPr>
        <w:widowControl w:val="0"/>
        <w:autoSpaceDE w:val="0"/>
        <w:autoSpaceDN w:val="0"/>
        <w:adjustRightInd w:val="0"/>
        <w:spacing w:after="240"/>
        <w:ind w:left="-567" w:right="-489"/>
        <w:jc w:val="both"/>
        <w:rPr>
          <w:rStyle w:val="Hyperlink"/>
          <w:rFonts w:ascii="Times New Roman" w:hAnsi="Times New Roman" w:cs="Times New Roman"/>
          <w:color w:val="auto"/>
          <w:u w:val="none"/>
        </w:rPr>
      </w:pPr>
      <w:r w:rsidRPr="00942F69">
        <w:rPr>
          <w:rFonts w:ascii="Times New Roman" w:hAnsi="Times New Roman" w:cs="Times New Roman"/>
        </w:rPr>
        <w:t xml:space="preserve">European Commission. “Social Dialogue”. (Access Date 28 September 2020) from </w:t>
      </w:r>
      <w:hyperlink r:id="rId9" w:history="1">
        <w:r w:rsidRPr="00942F69">
          <w:rPr>
            <w:rStyle w:val="Hyperlink"/>
            <w:rFonts w:ascii="Times New Roman" w:hAnsi="Times New Roman" w:cs="Times New Roman"/>
            <w:color w:val="auto"/>
            <w:u w:val="none"/>
          </w:rPr>
          <w:t>http://ec.europa.eu/social/main.jsp?catId=329&amp;langId=en</w:t>
        </w:r>
      </w:hyperlink>
    </w:p>
    <w:p w14:paraId="66D95770" w14:textId="77777777" w:rsidR="00942F69" w:rsidRPr="00942F69" w:rsidRDefault="00942F69" w:rsidP="008A1300">
      <w:pPr>
        <w:widowControl w:val="0"/>
        <w:autoSpaceDE w:val="0"/>
        <w:autoSpaceDN w:val="0"/>
        <w:adjustRightInd w:val="0"/>
        <w:spacing w:after="240"/>
        <w:ind w:left="-567" w:right="-489"/>
        <w:jc w:val="both"/>
        <w:rPr>
          <w:rFonts w:ascii="Times New Roman" w:hAnsi="Times New Roman" w:cs="Times New Roman"/>
        </w:rPr>
      </w:pPr>
      <w:r w:rsidRPr="00942F69">
        <w:rPr>
          <w:rFonts w:ascii="Times New Roman" w:hAnsi="Times New Roman" w:cs="Times New Roman"/>
        </w:rPr>
        <w:t xml:space="preserve">European Commission. “Work-life Balance. (Access Date 28 September 2020) from </w:t>
      </w:r>
      <w:hyperlink r:id="rId10" w:history="1">
        <w:r w:rsidRPr="00942F69">
          <w:rPr>
            <w:rStyle w:val="Hyperlink"/>
            <w:rFonts w:ascii="Times New Roman" w:hAnsi="Times New Roman" w:cs="Times New Roman"/>
            <w:color w:val="auto"/>
            <w:u w:val="none"/>
          </w:rPr>
          <w:t>http://ec.europa.eu/social/main.jsp?&amp;catId=1311&amp;langId=en</w:t>
        </w:r>
      </w:hyperlink>
    </w:p>
    <w:p w14:paraId="3AFC5A27" w14:textId="77777777" w:rsidR="00942F69" w:rsidRPr="00942F69" w:rsidRDefault="00942F69" w:rsidP="00C53319">
      <w:pPr>
        <w:widowControl w:val="0"/>
        <w:autoSpaceDE w:val="0"/>
        <w:autoSpaceDN w:val="0"/>
        <w:adjustRightInd w:val="0"/>
        <w:spacing w:after="240"/>
        <w:ind w:left="-567" w:right="-489"/>
        <w:jc w:val="both"/>
        <w:rPr>
          <w:rFonts w:ascii="Times New Roman" w:hAnsi="Times New Roman" w:cs="Times New Roman"/>
          <w:b/>
        </w:rPr>
      </w:pPr>
      <w:r w:rsidRPr="00942F69">
        <w:rPr>
          <w:rFonts w:ascii="Times New Roman" w:hAnsi="Times New Roman" w:cs="Times New Roman"/>
        </w:rPr>
        <w:t>Gokalp, E, N. (2005). “</w:t>
      </w:r>
      <w:r w:rsidRPr="00942F69">
        <w:rPr>
          <w:rFonts w:ascii="Times New Roman" w:hAnsi="Times New Roman" w:cs="Times New Roman"/>
          <w:bCs/>
        </w:rPr>
        <w:t>Critical Overview of the European Union Gender Equality Policies and their Implications for Turkey”. Master Thesis in the Graduate School of Social Sciences, Middle East Technical University. p. 1-3.</w:t>
      </w:r>
    </w:p>
    <w:p w14:paraId="7E1B5B50" w14:textId="77777777" w:rsidR="00942F69" w:rsidRPr="00942F69" w:rsidRDefault="00942F69" w:rsidP="008D6D15">
      <w:pPr>
        <w:widowControl w:val="0"/>
        <w:autoSpaceDE w:val="0"/>
        <w:autoSpaceDN w:val="0"/>
        <w:adjustRightInd w:val="0"/>
        <w:spacing w:after="240"/>
        <w:ind w:left="-567" w:right="-489"/>
        <w:jc w:val="both"/>
        <w:rPr>
          <w:rFonts w:ascii="Times New Roman" w:hAnsi="Times New Roman" w:cs="Times New Roman"/>
        </w:rPr>
      </w:pPr>
      <w:r w:rsidRPr="00942F69">
        <w:rPr>
          <w:rFonts w:ascii="Times New Roman" w:hAnsi="Times New Roman" w:cs="Times New Roman"/>
        </w:rPr>
        <w:t>Kazanoglu, N. (2019) “</w:t>
      </w:r>
      <w:r w:rsidRPr="00942F69">
        <w:rPr>
          <w:rFonts w:ascii="Times New Roman" w:hAnsi="Times New Roman" w:cs="Times New Roman"/>
          <w:bCs/>
        </w:rPr>
        <w:t xml:space="preserve">Work and Family Life Reconciliation Policies in Turkey: Europeanisation or Ottomanisation? </w:t>
      </w:r>
      <w:r w:rsidRPr="00942F69">
        <w:rPr>
          <w:rFonts w:ascii="Times New Roman" w:hAnsi="Times New Roman" w:cs="Times New Roman"/>
          <w:iCs/>
        </w:rPr>
        <w:t>Social Science, (</w:t>
      </w:r>
      <w:r w:rsidRPr="00942F69">
        <w:rPr>
          <w:rFonts w:ascii="Times New Roman" w:hAnsi="Times New Roman" w:cs="Times New Roman"/>
        </w:rPr>
        <w:t xml:space="preserve">p. </w:t>
      </w:r>
      <w:r w:rsidRPr="00942F69">
        <w:rPr>
          <w:rFonts w:ascii="Times New Roman" w:hAnsi="Times New Roman" w:cs="Times New Roman"/>
          <w:iCs/>
        </w:rPr>
        <w:t>8</w:t>
      </w:r>
      <w:r w:rsidRPr="00942F69">
        <w:rPr>
          <w:rFonts w:ascii="Times New Roman" w:hAnsi="Times New Roman" w:cs="Times New Roman"/>
        </w:rPr>
        <w:t>, 36).</w:t>
      </w:r>
      <w:bookmarkStart w:id="0" w:name="_GoBack"/>
      <w:bookmarkEnd w:id="0"/>
    </w:p>
    <w:p w14:paraId="6FA8C4E6" w14:textId="77777777" w:rsidR="00FF64B3" w:rsidRPr="00137E41" w:rsidRDefault="00FF64B3" w:rsidP="00137E41">
      <w:pPr>
        <w:widowControl w:val="0"/>
        <w:autoSpaceDE w:val="0"/>
        <w:autoSpaceDN w:val="0"/>
        <w:adjustRightInd w:val="0"/>
        <w:spacing w:after="240"/>
        <w:ind w:left="-567" w:right="-489"/>
        <w:jc w:val="both"/>
        <w:rPr>
          <w:rFonts w:ascii="Times New Roman" w:hAnsi="Times New Roman" w:cs="Times New Roman"/>
        </w:rPr>
      </w:pPr>
    </w:p>
    <w:p w14:paraId="02CF3389" w14:textId="77777777" w:rsidR="00137E41" w:rsidRPr="00137E41" w:rsidRDefault="00137E41" w:rsidP="00137E41">
      <w:pPr>
        <w:ind w:right="-489"/>
        <w:jc w:val="both"/>
        <w:rPr>
          <w:rFonts w:ascii="Times New Roman" w:hAnsi="Times New Roman" w:cs="Times New Roman"/>
          <w:b/>
        </w:rPr>
      </w:pPr>
    </w:p>
    <w:p w14:paraId="5E779BB8" w14:textId="77777777" w:rsidR="00137E41" w:rsidRDefault="00137E41" w:rsidP="00CC3909"/>
    <w:sectPr w:rsidR="00137E41" w:rsidSect="007B4AF9">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EBE68" w14:textId="77777777" w:rsidR="00AC74B6" w:rsidRDefault="00AC74B6" w:rsidP="007A0ECD">
      <w:r>
        <w:separator/>
      </w:r>
    </w:p>
  </w:endnote>
  <w:endnote w:type="continuationSeparator" w:id="0">
    <w:p w14:paraId="569E0BC2" w14:textId="77777777" w:rsidR="00AC74B6" w:rsidRDefault="00AC74B6" w:rsidP="007A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Questrial">
    <w:altName w:val="Times New Roman"/>
    <w:charset w:val="00"/>
    <w:family w:val="auto"/>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33E4A" w14:textId="77777777" w:rsidR="00AC74B6" w:rsidRDefault="00AC74B6" w:rsidP="005B17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FEF4D4" w14:textId="77777777" w:rsidR="00AC74B6" w:rsidRDefault="00AC74B6" w:rsidP="007A0E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A8582" w14:textId="77777777" w:rsidR="00AC74B6" w:rsidRDefault="00AC74B6" w:rsidP="005B17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2F69">
      <w:rPr>
        <w:rStyle w:val="PageNumber"/>
        <w:noProof/>
      </w:rPr>
      <w:t>1</w:t>
    </w:r>
    <w:r>
      <w:rPr>
        <w:rStyle w:val="PageNumber"/>
      </w:rPr>
      <w:fldChar w:fldCharType="end"/>
    </w:r>
  </w:p>
  <w:p w14:paraId="445D7E7E" w14:textId="77777777" w:rsidR="00AC74B6" w:rsidRDefault="00AC74B6" w:rsidP="007A0EC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70149" w14:textId="77777777" w:rsidR="00AC74B6" w:rsidRDefault="00AC74B6" w:rsidP="007A0ECD">
      <w:r>
        <w:separator/>
      </w:r>
    </w:p>
  </w:footnote>
  <w:footnote w:type="continuationSeparator" w:id="0">
    <w:p w14:paraId="13C2AAD5" w14:textId="77777777" w:rsidR="00AC74B6" w:rsidRDefault="00AC74B6" w:rsidP="007A0ECD">
      <w:r>
        <w:continuationSeparator/>
      </w:r>
    </w:p>
  </w:footnote>
  <w:footnote w:id="1">
    <w:p w14:paraId="5C6227EF" w14:textId="77777777" w:rsidR="00AC74B6" w:rsidRPr="001175DB" w:rsidRDefault="00AC74B6" w:rsidP="001079B6">
      <w:pPr>
        <w:pStyle w:val="NoSpacing"/>
        <w:ind w:left="-567" w:right="-489"/>
        <w:jc w:val="both"/>
        <w:rPr>
          <w:rFonts w:ascii="Times New Roman" w:hAnsi="Times New Roman" w:cs="Times New Roman"/>
          <w:sz w:val="20"/>
          <w:szCs w:val="20"/>
        </w:rPr>
      </w:pPr>
      <w:r w:rsidRPr="001175DB">
        <w:rPr>
          <w:rStyle w:val="FootnoteReference"/>
          <w:rFonts w:ascii="Times New Roman" w:hAnsi="Times New Roman" w:cs="Times New Roman"/>
          <w:sz w:val="20"/>
          <w:szCs w:val="20"/>
        </w:rPr>
        <w:footnoteRef/>
      </w:r>
      <w:r w:rsidRPr="001175DB">
        <w:rPr>
          <w:rFonts w:ascii="Times New Roman" w:hAnsi="Times New Roman" w:cs="Times New Roman"/>
          <w:sz w:val="20"/>
          <w:szCs w:val="20"/>
        </w:rPr>
        <w:t xml:space="preserve"> Deutsch, F. M. “Undoing Gender”. Gender &amp; Society, 21(1), 106-127. (2007).</w:t>
      </w:r>
    </w:p>
  </w:footnote>
  <w:footnote w:id="2">
    <w:p w14:paraId="3CA2F3EF" w14:textId="77777777" w:rsidR="00AC74B6" w:rsidRPr="001175DB" w:rsidRDefault="00AC74B6" w:rsidP="001079B6">
      <w:pPr>
        <w:pStyle w:val="NoSpacing"/>
        <w:ind w:left="-567" w:right="-489"/>
        <w:jc w:val="both"/>
        <w:rPr>
          <w:rFonts w:ascii="Times New Roman" w:hAnsi="Times New Roman" w:cs="Times New Roman"/>
          <w:sz w:val="20"/>
          <w:szCs w:val="20"/>
        </w:rPr>
      </w:pPr>
      <w:r w:rsidRPr="001175DB">
        <w:rPr>
          <w:rStyle w:val="FootnoteReference"/>
          <w:rFonts w:ascii="Times New Roman" w:hAnsi="Times New Roman" w:cs="Times New Roman"/>
          <w:sz w:val="20"/>
          <w:szCs w:val="20"/>
        </w:rPr>
        <w:footnoteRef/>
      </w:r>
      <w:r w:rsidRPr="001175DB">
        <w:rPr>
          <w:rFonts w:ascii="Times New Roman" w:hAnsi="Times New Roman" w:cs="Times New Roman"/>
          <w:sz w:val="20"/>
          <w:szCs w:val="20"/>
        </w:rPr>
        <w:t xml:space="preserve"> Op. cit, p. 107.</w:t>
      </w:r>
    </w:p>
  </w:footnote>
  <w:footnote w:id="3">
    <w:p w14:paraId="5274F82E" w14:textId="77777777" w:rsidR="00AC74B6" w:rsidRPr="001175DB" w:rsidRDefault="00AC74B6" w:rsidP="001079B6">
      <w:pPr>
        <w:pStyle w:val="NoSpacing"/>
        <w:ind w:left="-567" w:right="-489"/>
        <w:jc w:val="both"/>
        <w:rPr>
          <w:rFonts w:ascii="Times New Roman" w:hAnsi="Times New Roman" w:cs="Times New Roman"/>
          <w:b/>
          <w:sz w:val="20"/>
          <w:szCs w:val="20"/>
        </w:rPr>
      </w:pPr>
      <w:r w:rsidRPr="001175DB">
        <w:rPr>
          <w:rStyle w:val="FootnoteReference"/>
          <w:rFonts w:ascii="Times New Roman" w:hAnsi="Times New Roman" w:cs="Times New Roman"/>
          <w:sz w:val="20"/>
          <w:szCs w:val="20"/>
        </w:rPr>
        <w:footnoteRef/>
      </w:r>
      <w:r w:rsidRPr="001175DB">
        <w:rPr>
          <w:rFonts w:ascii="Times New Roman" w:hAnsi="Times New Roman" w:cs="Times New Roman"/>
          <w:sz w:val="20"/>
          <w:szCs w:val="20"/>
        </w:rPr>
        <w:t xml:space="preserve"> Ertürk, Y. “Considering the Role of Men in Gender Agenda Setting: Conceptual and Policy Issues”, </w:t>
      </w:r>
      <w:r w:rsidRPr="001175DB">
        <w:rPr>
          <w:rFonts w:ascii="Times New Roman" w:hAnsi="Times New Roman" w:cs="Times New Roman"/>
          <w:i/>
          <w:iCs/>
          <w:sz w:val="20"/>
          <w:szCs w:val="20"/>
        </w:rPr>
        <w:t xml:space="preserve">Feminist Review, Vol 78. </w:t>
      </w:r>
      <w:r w:rsidRPr="001175DB">
        <w:rPr>
          <w:rFonts w:ascii="Times New Roman" w:hAnsi="Times New Roman" w:cs="Times New Roman"/>
          <w:sz w:val="20"/>
          <w:szCs w:val="20"/>
        </w:rPr>
        <w:t>p. 3-21. (2005).</w:t>
      </w:r>
    </w:p>
  </w:footnote>
  <w:footnote w:id="4">
    <w:p w14:paraId="6C61ED2D" w14:textId="77777777" w:rsidR="00AC74B6" w:rsidRPr="001175DB" w:rsidRDefault="00AC74B6" w:rsidP="001079B6">
      <w:pPr>
        <w:pStyle w:val="NoSpacing"/>
        <w:ind w:left="-567" w:right="-489"/>
        <w:jc w:val="both"/>
        <w:rPr>
          <w:rFonts w:ascii="Times New Roman" w:hAnsi="Times New Roman" w:cs="Times New Roman"/>
          <w:sz w:val="20"/>
          <w:szCs w:val="20"/>
        </w:rPr>
      </w:pPr>
      <w:r w:rsidRPr="001175DB">
        <w:rPr>
          <w:rStyle w:val="FootnoteReference"/>
          <w:rFonts w:ascii="Times New Roman" w:hAnsi="Times New Roman" w:cs="Times New Roman"/>
          <w:sz w:val="20"/>
          <w:szCs w:val="20"/>
        </w:rPr>
        <w:footnoteRef/>
      </w:r>
      <w:r w:rsidRPr="001175DB">
        <w:rPr>
          <w:rFonts w:ascii="Times New Roman" w:hAnsi="Times New Roman" w:cs="Times New Roman"/>
          <w:sz w:val="20"/>
          <w:szCs w:val="20"/>
        </w:rPr>
        <w:t xml:space="preserve"> Op. cit, p. 9.</w:t>
      </w:r>
    </w:p>
  </w:footnote>
  <w:footnote w:id="5">
    <w:p w14:paraId="12B62B71" w14:textId="77777777" w:rsidR="00AC74B6" w:rsidRPr="009A6804" w:rsidRDefault="00AC74B6" w:rsidP="001079B6">
      <w:pPr>
        <w:widowControl w:val="0"/>
        <w:autoSpaceDE w:val="0"/>
        <w:autoSpaceDN w:val="0"/>
        <w:adjustRightInd w:val="0"/>
        <w:spacing w:after="240"/>
        <w:ind w:left="-426"/>
        <w:jc w:val="both"/>
        <w:rPr>
          <w:rFonts w:ascii="Times New Roman" w:hAnsi="Times New Roman" w:cs="Times New Roman"/>
          <w:sz w:val="20"/>
          <w:szCs w:val="20"/>
        </w:rPr>
      </w:pPr>
      <w:r w:rsidRPr="009A6804">
        <w:rPr>
          <w:rStyle w:val="FootnoteReference"/>
          <w:sz w:val="20"/>
          <w:szCs w:val="20"/>
        </w:rPr>
        <w:footnoteRef/>
      </w:r>
      <w:r w:rsidRPr="009A6804">
        <w:rPr>
          <w:sz w:val="20"/>
          <w:szCs w:val="20"/>
        </w:rPr>
        <w:t xml:space="preserve"> </w:t>
      </w:r>
      <w:r w:rsidRPr="009A6804">
        <w:rPr>
          <w:rFonts w:ascii="Times New Roman" w:hAnsi="Times New Roman" w:cs="Times New Roman"/>
          <w:sz w:val="20"/>
          <w:szCs w:val="20"/>
        </w:rPr>
        <w:t>Gokalp, Ela, N. “</w:t>
      </w:r>
      <w:r w:rsidRPr="009A6804">
        <w:rPr>
          <w:rFonts w:ascii="Times New Roman" w:hAnsi="Times New Roman" w:cs="Times New Roman"/>
          <w:bCs/>
          <w:sz w:val="20"/>
          <w:szCs w:val="20"/>
        </w:rPr>
        <w:t xml:space="preserve">Critical Overview of the European Union Gender Equality Policies and their Implications for Turkey”. p. 1-3. (2005). </w:t>
      </w:r>
    </w:p>
  </w:footnote>
  <w:footnote w:id="6">
    <w:p w14:paraId="71AD4D83" w14:textId="77777777" w:rsidR="00AC74B6" w:rsidRPr="009A6804" w:rsidRDefault="00AC74B6" w:rsidP="001079B6">
      <w:pPr>
        <w:pStyle w:val="NoSpacing"/>
        <w:ind w:left="-426"/>
        <w:jc w:val="both"/>
        <w:rPr>
          <w:rFonts w:ascii="Times New Roman" w:hAnsi="Times New Roman" w:cs="Times New Roman"/>
          <w:sz w:val="20"/>
          <w:szCs w:val="20"/>
        </w:rPr>
      </w:pPr>
      <w:r w:rsidRPr="009A6804">
        <w:rPr>
          <w:rStyle w:val="FootnoteReference"/>
          <w:sz w:val="20"/>
          <w:szCs w:val="20"/>
        </w:rPr>
        <w:footnoteRef/>
      </w:r>
      <w:r w:rsidRPr="009A6804">
        <w:rPr>
          <w:sz w:val="20"/>
          <w:szCs w:val="20"/>
        </w:rPr>
        <w:t xml:space="preserve"> </w:t>
      </w:r>
      <w:r w:rsidRPr="009A6804">
        <w:rPr>
          <w:rFonts w:ascii="Times New Roman" w:hAnsi="Times New Roman" w:cs="Times New Roman"/>
          <w:sz w:val="20"/>
          <w:szCs w:val="20"/>
        </w:rPr>
        <w:t>Op. cit, p. 3.</w:t>
      </w:r>
    </w:p>
  </w:footnote>
  <w:footnote w:id="7">
    <w:p w14:paraId="6E43EE63" w14:textId="77777777" w:rsidR="00AC74B6" w:rsidRPr="009A6804" w:rsidRDefault="00AC74B6" w:rsidP="00AC54A6">
      <w:pPr>
        <w:widowControl w:val="0"/>
        <w:autoSpaceDE w:val="0"/>
        <w:autoSpaceDN w:val="0"/>
        <w:adjustRightInd w:val="0"/>
        <w:spacing w:after="240" w:line="276" w:lineRule="auto"/>
        <w:ind w:left="-426" w:right="-489"/>
        <w:jc w:val="both"/>
        <w:rPr>
          <w:rFonts w:ascii="Times New Roman" w:hAnsi="Times New Roman" w:cs="Times New Roman"/>
          <w:bCs/>
          <w:sz w:val="20"/>
          <w:szCs w:val="20"/>
        </w:rPr>
      </w:pPr>
      <w:r w:rsidRPr="009A6804">
        <w:rPr>
          <w:rStyle w:val="FootnoteReference"/>
          <w:sz w:val="20"/>
          <w:szCs w:val="20"/>
        </w:rPr>
        <w:footnoteRef/>
      </w:r>
      <w:r w:rsidRPr="009A6804">
        <w:rPr>
          <w:sz w:val="20"/>
          <w:szCs w:val="20"/>
        </w:rPr>
        <w:t xml:space="preserve"> </w:t>
      </w:r>
      <w:r w:rsidRPr="009A6804">
        <w:rPr>
          <w:rFonts w:ascii="Times New Roman" w:hAnsi="Times New Roman" w:cs="Times New Roman"/>
          <w:sz w:val="20"/>
          <w:szCs w:val="20"/>
        </w:rPr>
        <w:t>European Commission. “Work-life Balance. (Access Date 28 September 2020) from http://ec.europa.eu/social/main.jsp?&amp;catId=1311&amp;langId=en</w:t>
      </w:r>
    </w:p>
  </w:footnote>
  <w:footnote w:id="8">
    <w:p w14:paraId="6202BF29" w14:textId="1465E0FA" w:rsidR="00AC74B6" w:rsidRPr="008E3AFA" w:rsidRDefault="00AC74B6" w:rsidP="008E3AFA">
      <w:pPr>
        <w:widowControl w:val="0"/>
        <w:autoSpaceDE w:val="0"/>
        <w:autoSpaceDN w:val="0"/>
        <w:adjustRightInd w:val="0"/>
        <w:spacing w:after="240" w:line="276" w:lineRule="auto"/>
        <w:ind w:left="-426" w:right="-489"/>
        <w:jc w:val="both"/>
        <w:rPr>
          <w:rFonts w:ascii="Times New Roman" w:hAnsi="Times New Roman" w:cs="Times New Roman"/>
          <w:sz w:val="20"/>
          <w:szCs w:val="20"/>
        </w:rPr>
      </w:pPr>
      <w:r w:rsidRPr="009A6804">
        <w:rPr>
          <w:rStyle w:val="FootnoteReference"/>
          <w:sz w:val="20"/>
          <w:szCs w:val="20"/>
        </w:rPr>
        <w:footnoteRef/>
      </w:r>
      <w:r w:rsidRPr="009A6804">
        <w:rPr>
          <w:sz w:val="20"/>
          <w:szCs w:val="20"/>
        </w:rPr>
        <w:t xml:space="preserve"> </w:t>
      </w:r>
      <w:r w:rsidRPr="009A6804">
        <w:rPr>
          <w:rFonts w:ascii="Times New Roman" w:hAnsi="Times New Roman" w:cs="Times New Roman"/>
          <w:sz w:val="20"/>
          <w:szCs w:val="20"/>
        </w:rPr>
        <w:t>European Commission. “</w:t>
      </w:r>
      <w:r>
        <w:rPr>
          <w:rFonts w:ascii="Times New Roman" w:hAnsi="Times New Roman" w:cs="Times New Roman"/>
          <w:sz w:val="20"/>
          <w:szCs w:val="20"/>
        </w:rPr>
        <w:t xml:space="preserve">Social </w:t>
      </w:r>
      <w:r w:rsidRPr="009A6804">
        <w:rPr>
          <w:rFonts w:ascii="Times New Roman" w:hAnsi="Times New Roman" w:cs="Times New Roman"/>
          <w:sz w:val="20"/>
          <w:szCs w:val="20"/>
        </w:rPr>
        <w:t>Dialogue”. (Access Date 28 September 2020) from http://ec.europa.eu/social/main.j</w:t>
      </w:r>
      <w:r>
        <w:rPr>
          <w:rFonts w:ascii="Times New Roman" w:hAnsi="Times New Roman" w:cs="Times New Roman"/>
          <w:sz w:val="20"/>
          <w:szCs w:val="20"/>
        </w:rPr>
        <w:t>sp?catId=329&amp;langId=en</w:t>
      </w:r>
    </w:p>
  </w:footnote>
  <w:footnote w:id="9">
    <w:p w14:paraId="739E0C8D" w14:textId="77777777" w:rsidR="00AC74B6" w:rsidRDefault="00AC74B6" w:rsidP="00F37D63">
      <w:pPr>
        <w:pStyle w:val="FootnoteText"/>
        <w:ind w:left="-426"/>
        <w:jc w:val="both"/>
        <w:rPr>
          <w:rFonts w:ascii="Times New Roman" w:hAnsi="Times New Roman" w:cs="Times New Roman"/>
          <w:bCs/>
          <w:sz w:val="20"/>
          <w:szCs w:val="20"/>
        </w:rPr>
      </w:pPr>
      <w:r>
        <w:rPr>
          <w:rStyle w:val="FootnoteReference"/>
        </w:rPr>
        <w:footnoteRef/>
      </w:r>
      <w:r>
        <w:t xml:space="preserve"> </w:t>
      </w:r>
      <w:r w:rsidRPr="009A6804">
        <w:rPr>
          <w:rFonts w:ascii="Times New Roman" w:hAnsi="Times New Roman" w:cs="Times New Roman"/>
          <w:sz w:val="20"/>
          <w:szCs w:val="20"/>
        </w:rPr>
        <w:t>Gokalp, Ela, N. “</w:t>
      </w:r>
      <w:r w:rsidRPr="009A6804">
        <w:rPr>
          <w:rFonts w:ascii="Times New Roman" w:hAnsi="Times New Roman" w:cs="Times New Roman"/>
          <w:bCs/>
          <w:sz w:val="20"/>
          <w:szCs w:val="20"/>
        </w:rPr>
        <w:t xml:space="preserve">Critical Overview of the European Union Gender Equality Policies and their Implications for Turkey”. </w:t>
      </w:r>
      <w:r>
        <w:rPr>
          <w:rFonts w:ascii="Times New Roman" w:hAnsi="Times New Roman" w:cs="Times New Roman"/>
          <w:bCs/>
          <w:sz w:val="20"/>
          <w:szCs w:val="20"/>
        </w:rPr>
        <w:t>p. 2</w:t>
      </w:r>
      <w:r w:rsidRPr="009A6804">
        <w:rPr>
          <w:rFonts w:ascii="Times New Roman" w:hAnsi="Times New Roman" w:cs="Times New Roman"/>
          <w:bCs/>
          <w:sz w:val="20"/>
          <w:szCs w:val="20"/>
        </w:rPr>
        <w:t>. (2005)</w:t>
      </w:r>
    </w:p>
    <w:p w14:paraId="11547BB4" w14:textId="77777777" w:rsidR="00AC74B6" w:rsidRDefault="00AC74B6" w:rsidP="00F37D63">
      <w:pPr>
        <w:pStyle w:val="FootnoteText"/>
        <w:ind w:left="-426"/>
        <w:jc w:val="both"/>
      </w:pPr>
    </w:p>
  </w:footnote>
  <w:footnote w:id="10">
    <w:p w14:paraId="6F0A2399" w14:textId="77777777" w:rsidR="00AC74B6" w:rsidRPr="00A1395D" w:rsidRDefault="00AC74B6" w:rsidP="00D53BB0">
      <w:pPr>
        <w:widowControl w:val="0"/>
        <w:autoSpaceDE w:val="0"/>
        <w:autoSpaceDN w:val="0"/>
        <w:adjustRightInd w:val="0"/>
        <w:spacing w:after="240"/>
        <w:ind w:left="-426"/>
        <w:jc w:val="both"/>
        <w:rPr>
          <w:rFonts w:ascii="Times" w:hAnsi="Times" w:cs="Times"/>
          <w:sz w:val="20"/>
          <w:szCs w:val="20"/>
        </w:rPr>
      </w:pPr>
      <w:r>
        <w:rPr>
          <w:rStyle w:val="FootnoteReference"/>
        </w:rPr>
        <w:footnoteRef/>
      </w:r>
      <w:r>
        <w:t xml:space="preserve"> </w:t>
      </w:r>
      <w:r>
        <w:rPr>
          <w:rFonts w:ascii="Times New Roman" w:hAnsi="Times New Roman" w:cs="Times New Roman"/>
          <w:sz w:val="20"/>
          <w:szCs w:val="20"/>
        </w:rPr>
        <w:t>Aybars, F. K. &amp; Tsarouhas, D. (2010). Straddling Two Continents: Social Policy and Welfare P</w:t>
      </w:r>
      <w:r w:rsidRPr="003F653A">
        <w:rPr>
          <w:rFonts w:ascii="Times New Roman" w:hAnsi="Times New Roman" w:cs="Times New Roman"/>
          <w:sz w:val="20"/>
          <w:szCs w:val="20"/>
        </w:rPr>
        <w:t xml:space="preserve">olitics in Turkey. </w:t>
      </w:r>
      <w:r w:rsidRPr="00425A5B">
        <w:rPr>
          <w:rFonts w:ascii="Times New Roman" w:hAnsi="Times New Roman" w:cs="Times New Roman"/>
          <w:i/>
          <w:sz w:val="20"/>
          <w:szCs w:val="20"/>
        </w:rPr>
        <w:t>Social Policy &amp; Administration,</w:t>
      </w:r>
      <w:r>
        <w:rPr>
          <w:rFonts w:ascii="Times New Roman" w:hAnsi="Times New Roman" w:cs="Times New Roman"/>
          <w:sz w:val="20"/>
          <w:szCs w:val="20"/>
        </w:rPr>
        <w:t xml:space="preserve"> 44(6):</w:t>
      </w:r>
      <w:r w:rsidRPr="003F653A">
        <w:rPr>
          <w:rFonts w:ascii="Times New Roman" w:hAnsi="Times New Roman" w:cs="Times New Roman"/>
          <w:sz w:val="20"/>
          <w:szCs w:val="20"/>
        </w:rPr>
        <w:t xml:space="preserve"> 746-763.</w:t>
      </w:r>
      <w:r>
        <w:rPr>
          <w:rFonts w:ascii="Times New Roman" w:hAnsi="Times New Roman" w:cs="Times New Roman"/>
          <w:sz w:val="20"/>
          <w:szCs w:val="20"/>
        </w:rPr>
        <w:t xml:space="preserve"> Here, the authors explain the complex nature of Turkey as a country located in between two continents. The authors reveal that Turkey earliest developed was initially tilted towards the Middle Eastern development before later retracing to focus more of developmental strides from the EU, through Turkey’s formal request to be a member of the EU.</w:t>
      </w:r>
    </w:p>
  </w:footnote>
  <w:footnote w:id="11">
    <w:p w14:paraId="7304A2E9" w14:textId="77777777" w:rsidR="00AC74B6" w:rsidRPr="009A6804" w:rsidRDefault="00AC74B6" w:rsidP="00D53BB0">
      <w:pPr>
        <w:pStyle w:val="NoSpacing"/>
        <w:spacing w:line="276" w:lineRule="auto"/>
        <w:ind w:left="-426"/>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Op. cit, p. 747</w:t>
      </w:r>
      <w:r w:rsidRPr="009A6804">
        <w:rPr>
          <w:rFonts w:ascii="Times New Roman" w:hAnsi="Times New Roman" w:cs="Times New Roman"/>
          <w:sz w:val="20"/>
          <w:szCs w:val="20"/>
        </w:rPr>
        <w:t>.</w:t>
      </w:r>
    </w:p>
    <w:p w14:paraId="13EAA814" w14:textId="77777777" w:rsidR="00AC74B6" w:rsidRDefault="00AC74B6" w:rsidP="00D53BB0">
      <w:pPr>
        <w:pStyle w:val="FootnoteText"/>
      </w:pPr>
    </w:p>
  </w:footnote>
  <w:footnote w:id="12">
    <w:p w14:paraId="329AECBE" w14:textId="77777777" w:rsidR="00AC74B6" w:rsidRDefault="00AC74B6" w:rsidP="00342D68">
      <w:pPr>
        <w:pStyle w:val="NoSpacing"/>
        <w:ind w:left="-567" w:right="-489"/>
        <w:jc w:val="both"/>
        <w:rPr>
          <w:rFonts w:ascii="Times New Roman" w:hAnsi="Times New Roman" w:cs="Times New Roman"/>
          <w:sz w:val="20"/>
          <w:szCs w:val="20"/>
        </w:rPr>
      </w:pPr>
      <w:r>
        <w:rPr>
          <w:rStyle w:val="FootnoteReference"/>
        </w:rPr>
        <w:footnoteRef/>
      </w:r>
      <w:r>
        <w:t xml:space="preserve"> </w:t>
      </w:r>
      <w:r w:rsidRPr="00184B9F">
        <w:rPr>
          <w:rFonts w:ascii="Times New Roman" w:hAnsi="Times New Roman" w:cs="Times New Roman"/>
          <w:sz w:val="20"/>
          <w:szCs w:val="20"/>
        </w:rPr>
        <w:t>op. cit, p,</w:t>
      </w:r>
      <w:r>
        <w:rPr>
          <w:rFonts w:ascii="Times New Roman" w:hAnsi="Times New Roman" w:cs="Times New Roman"/>
          <w:sz w:val="20"/>
          <w:szCs w:val="20"/>
        </w:rPr>
        <w:t>1</w:t>
      </w:r>
      <w:r w:rsidRPr="00184B9F">
        <w:rPr>
          <w:rFonts w:ascii="Times New Roman" w:hAnsi="Times New Roman" w:cs="Times New Roman"/>
          <w:sz w:val="20"/>
          <w:szCs w:val="20"/>
        </w:rPr>
        <w:t>9.</w:t>
      </w:r>
    </w:p>
    <w:p w14:paraId="7C78FC94" w14:textId="77777777" w:rsidR="00AC74B6" w:rsidRPr="00AF69C2" w:rsidRDefault="00AC74B6" w:rsidP="00342D68">
      <w:pPr>
        <w:pStyle w:val="NoSpacing"/>
        <w:ind w:left="-567" w:right="-489"/>
        <w:jc w:val="both"/>
        <w:rPr>
          <w:rFonts w:ascii="Times New Roman" w:hAnsi="Times New Roman" w:cs="Times New Roman"/>
          <w:sz w:val="20"/>
          <w:szCs w:val="20"/>
        </w:rPr>
      </w:pPr>
    </w:p>
  </w:footnote>
  <w:footnote w:id="13">
    <w:p w14:paraId="33B7F457" w14:textId="77777777" w:rsidR="00AC74B6" w:rsidRPr="002D2C96" w:rsidRDefault="00AC74B6" w:rsidP="00342D68">
      <w:pPr>
        <w:widowControl w:val="0"/>
        <w:autoSpaceDE w:val="0"/>
        <w:autoSpaceDN w:val="0"/>
        <w:adjustRightInd w:val="0"/>
        <w:spacing w:after="240"/>
        <w:ind w:left="-426" w:right="-489"/>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Aybars, Ayse-</w:t>
      </w:r>
      <w:r w:rsidRPr="00D5660D">
        <w:rPr>
          <w:rFonts w:ascii="Times New Roman" w:hAnsi="Times New Roman" w:cs="Times New Roman"/>
          <w:sz w:val="20"/>
          <w:szCs w:val="20"/>
        </w:rPr>
        <w:t xml:space="preserve">dil and Dimitris Tsarouhas. Straddling Two Continents: Social Policy and Welfare Politics in Turkey. </w:t>
      </w:r>
      <w:r w:rsidRPr="00D5660D">
        <w:rPr>
          <w:rFonts w:ascii="Times New Roman" w:hAnsi="Times New Roman" w:cs="Times New Roman"/>
          <w:i/>
          <w:iCs/>
          <w:sz w:val="20"/>
          <w:szCs w:val="20"/>
        </w:rPr>
        <w:t xml:space="preserve">Social Policy &amp; Administration </w:t>
      </w:r>
      <w:r w:rsidRPr="00D5660D">
        <w:rPr>
          <w:rFonts w:ascii="Times New Roman" w:hAnsi="Times New Roman" w:cs="Times New Roman"/>
          <w:sz w:val="20"/>
          <w:szCs w:val="20"/>
        </w:rPr>
        <w:t>44: (2010, p. 746–63)</w:t>
      </w:r>
      <w:r>
        <w:rPr>
          <w:rFonts w:ascii="Times New Roman" w:hAnsi="Times New Roman" w:cs="Times New Roman"/>
          <w:sz w:val="20"/>
          <w:szCs w:val="20"/>
        </w:rPr>
        <w:t>.</w:t>
      </w:r>
    </w:p>
  </w:footnote>
  <w:footnote w:id="14">
    <w:p w14:paraId="3325735D" w14:textId="77777777" w:rsidR="00AC74B6" w:rsidRPr="00C93589" w:rsidRDefault="00AC74B6" w:rsidP="00342D68">
      <w:pPr>
        <w:widowControl w:val="0"/>
        <w:autoSpaceDE w:val="0"/>
        <w:autoSpaceDN w:val="0"/>
        <w:adjustRightInd w:val="0"/>
        <w:spacing w:after="240"/>
        <w:ind w:left="-426" w:right="-489"/>
        <w:jc w:val="both"/>
        <w:rPr>
          <w:rFonts w:ascii="Times" w:hAnsi="Times" w:cs="Times"/>
        </w:rPr>
      </w:pPr>
      <w:r>
        <w:rPr>
          <w:rStyle w:val="FootnoteReference"/>
        </w:rPr>
        <w:footnoteRef/>
      </w:r>
      <w:r>
        <w:t xml:space="preserve"> </w:t>
      </w:r>
      <w:r w:rsidRPr="00B420AF">
        <w:rPr>
          <w:rFonts w:ascii="Times New Roman" w:hAnsi="Times New Roman" w:cs="Times New Roman"/>
          <w:sz w:val="20"/>
          <w:szCs w:val="20"/>
        </w:rPr>
        <w:t xml:space="preserve">Aldikacti-Marshall, Gül. </w:t>
      </w:r>
      <w:r w:rsidRPr="00B420AF">
        <w:rPr>
          <w:rFonts w:ascii="Times New Roman" w:hAnsi="Times New Roman" w:cs="Times New Roman"/>
          <w:b/>
          <w:iCs/>
          <w:sz w:val="20"/>
          <w:szCs w:val="20"/>
        </w:rPr>
        <w:t>Shaping Gender Policy in Turkey: Grassroots Women Activists, the European Union and the Turkish State</w:t>
      </w:r>
      <w:r w:rsidRPr="00B420AF">
        <w:rPr>
          <w:rFonts w:ascii="Times New Roman" w:hAnsi="Times New Roman" w:cs="Times New Roman"/>
          <w:b/>
          <w:sz w:val="20"/>
          <w:szCs w:val="20"/>
        </w:rPr>
        <w:t>.</w:t>
      </w:r>
      <w:r w:rsidRPr="00B420AF">
        <w:rPr>
          <w:rFonts w:ascii="Times New Roman" w:hAnsi="Times New Roman" w:cs="Times New Roman"/>
          <w:sz w:val="20"/>
          <w:szCs w:val="20"/>
        </w:rPr>
        <w:t xml:space="preserve"> Albany: State University of New York Press. (2013).</w:t>
      </w:r>
    </w:p>
  </w:footnote>
  <w:footnote w:id="15">
    <w:p w14:paraId="3C9BD6AB" w14:textId="77777777" w:rsidR="00AC74B6" w:rsidRPr="00141689" w:rsidRDefault="00AC74B6" w:rsidP="00342D68">
      <w:pPr>
        <w:widowControl w:val="0"/>
        <w:autoSpaceDE w:val="0"/>
        <w:autoSpaceDN w:val="0"/>
        <w:adjustRightInd w:val="0"/>
        <w:spacing w:after="240"/>
        <w:ind w:left="-426" w:right="-489"/>
        <w:jc w:val="both"/>
        <w:rPr>
          <w:rFonts w:ascii="Times New Roman" w:hAnsi="Times New Roman" w:cs="Times New Roman"/>
          <w:sz w:val="20"/>
          <w:szCs w:val="20"/>
        </w:rPr>
      </w:pPr>
      <w:r>
        <w:rPr>
          <w:rStyle w:val="FootnoteReference"/>
        </w:rPr>
        <w:footnoteRef/>
      </w:r>
      <w:r>
        <w:t xml:space="preserve"> </w:t>
      </w:r>
      <w:r w:rsidRPr="0088373C">
        <w:rPr>
          <w:rFonts w:ascii="Times New Roman" w:hAnsi="Times New Roman" w:cs="Times New Roman"/>
          <w:sz w:val="20"/>
          <w:szCs w:val="20"/>
        </w:rPr>
        <w:t xml:space="preserve">Dedeoglu, Saniye. </w:t>
      </w:r>
      <w:r w:rsidRPr="0088373C">
        <w:rPr>
          <w:rFonts w:ascii="Times New Roman" w:hAnsi="Times New Roman" w:cs="Times New Roman"/>
          <w:b/>
          <w:sz w:val="20"/>
          <w:szCs w:val="20"/>
        </w:rPr>
        <w:t>Equality, Protection or Discrimination: Gender equality Policies in Turkey.</w:t>
      </w:r>
      <w:r w:rsidRPr="0088373C">
        <w:rPr>
          <w:rFonts w:ascii="Times New Roman" w:hAnsi="Times New Roman" w:cs="Times New Roman"/>
          <w:sz w:val="20"/>
          <w:szCs w:val="20"/>
        </w:rPr>
        <w:t xml:space="preserve"> </w:t>
      </w:r>
      <w:r w:rsidRPr="0088373C">
        <w:rPr>
          <w:rFonts w:ascii="Times New Roman" w:hAnsi="Times New Roman" w:cs="Times New Roman"/>
          <w:i/>
          <w:iCs/>
          <w:sz w:val="20"/>
          <w:szCs w:val="20"/>
        </w:rPr>
        <w:t xml:space="preserve">Social Politics: International Studies in Gender, State &amp; Society, </w:t>
      </w:r>
      <w:r w:rsidRPr="0088373C">
        <w:rPr>
          <w:rFonts w:ascii="Times New Roman" w:hAnsi="Times New Roman" w:cs="Times New Roman"/>
          <w:sz w:val="20"/>
          <w:szCs w:val="20"/>
        </w:rPr>
        <w:t>19, (2012, p. 269–90)</w:t>
      </w:r>
      <w:r>
        <w:rPr>
          <w:rFonts w:ascii="Times New Roman" w:hAnsi="Times New Roman" w:cs="Times New Roman"/>
          <w:sz w:val="20"/>
          <w:szCs w:val="20"/>
        </w:rPr>
        <w:t>.</w:t>
      </w:r>
    </w:p>
  </w:footnote>
  <w:footnote w:id="16">
    <w:p w14:paraId="41873CD5" w14:textId="77777777" w:rsidR="00AC74B6" w:rsidRDefault="00AC74B6" w:rsidP="00511D6F">
      <w:pPr>
        <w:pStyle w:val="FootnoteText"/>
        <w:ind w:left="-426" w:right="-489"/>
      </w:pPr>
      <w:r>
        <w:rPr>
          <w:rStyle w:val="FootnoteReference"/>
        </w:rPr>
        <w:footnoteRef/>
      </w:r>
      <w:r>
        <w:t xml:space="preserve"> </w:t>
      </w:r>
      <w:r w:rsidRPr="00184B9F">
        <w:rPr>
          <w:rFonts w:ascii="Times New Roman" w:hAnsi="Times New Roman" w:cs="Times New Roman"/>
          <w:sz w:val="20"/>
          <w:szCs w:val="20"/>
        </w:rPr>
        <w:t>op. cit, p,</w:t>
      </w:r>
      <w:r>
        <w:rPr>
          <w:rFonts w:ascii="Times New Roman" w:hAnsi="Times New Roman" w:cs="Times New Roman"/>
          <w:sz w:val="20"/>
          <w:szCs w:val="20"/>
        </w:rPr>
        <w:t xml:space="preserve"> 29</w:t>
      </w:r>
      <w:r w:rsidRPr="00184B9F">
        <w:rPr>
          <w:rFonts w:ascii="Times New Roman" w:hAnsi="Times New Roman" w:cs="Times New Roman"/>
          <w:sz w:val="20"/>
          <w:szCs w:val="20"/>
        </w:rPr>
        <w:t>9.</w:t>
      </w:r>
    </w:p>
  </w:footnote>
  <w:footnote w:id="17">
    <w:p w14:paraId="6C42D620" w14:textId="77777777" w:rsidR="00AC74B6" w:rsidRPr="00C32464" w:rsidRDefault="00AC74B6" w:rsidP="00265FCC">
      <w:pPr>
        <w:widowControl w:val="0"/>
        <w:autoSpaceDE w:val="0"/>
        <w:autoSpaceDN w:val="0"/>
        <w:adjustRightInd w:val="0"/>
        <w:spacing w:after="240"/>
        <w:ind w:left="-426" w:right="-489"/>
        <w:jc w:val="both"/>
        <w:rPr>
          <w:rFonts w:ascii="Times New Roman" w:hAnsi="Times New Roman" w:cs="Times New Roman"/>
          <w:sz w:val="20"/>
          <w:szCs w:val="20"/>
        </w:rPr>
      </w:pPr>
      <w:r>
        <w:rPr>
          <w:rStyle w:val="FootnoteReference"/>
        </w:rPr>
        <w:footnoteRef/>
      </w:r>
      <w:r>
        <w:t xml:space="preserve"> </w:t>
      </w:r>
      <w:r w:rsidRPr="008B0C74">
        <w:rPr>
          <w:rFonts w:ascii="Times New Roman" w:hAnsi="Times New Roman" w:cs="Times New Roman"/>
          <w:sz w:val="20"/>
          <w:szCs w:val="20"/>
        </w:rPr>
        <w:t xml:space="preserve">In </w:t>
      </w:r>
      <w:r>
        <w:rPr>
          <w:rFonts w:ascii="Times New Roman" w:hAnsi="Times New Roman" w:cs="Times New Roman"/>
          <w:sz w:val="20"/>
          <w:szCs w:val="20"/>
        </w:rPr>
        <w:t>the year 1999, during</w:t>
      </w:r>
      <w:r w:rsidRPr="008B0C74">
        <w:rPr>
          <w:rFonts w:ascii="Times New Roman" w:hAnsi="Times New Roman" w:cs="Times New Roman"/>
          <w:sz w:val="20"/>
          <w:szCs w:val="20"/>
        </w:rPr>
        <w:t xml:space="preserve"> the Helsinki Summit, the EU </w:t>
      </w:r>
      <w:r>
        <w:rPr>
          <w:rFonts w:ascii="Times New Roman" w:hAnsi="Times New Roman" w:cs="Times New Roman"/>
          <w:sz w:val="20"/>
          <w:szCs w:val="20"/>
        </w:rPr>
        <w:t xml:space="preserve">formally announced </w:t>
      </w:r>
      <w:r w:rsidRPr="008B0C74">
        <w:rPr>
          <w:rFonts w:ascii="Times New Roman" w:hAnsi="Times New Roman" w:cs="Times New Roman"/>
          <w:sz w:val="20"/>
          <w:szCs w:val="20"/>
        </w:rPr>
        <w:t xml:space="preserve">Turkey </w:t>
      </w:r>
      <w:r>
        <w:rPr>
          <w:rFonts w:ascii="Times New Roman" w:hAnsi="Times New Roman" w:cs="Times New Roman"/>
          <w:sz w:val="20"/>
          <w:szCs w:val="20"/>
        </w:rPr>
        <w:t xml:space="preserve">as a </w:t>
      </w:r>
      <w:r w:rsidRPr="008B0C74">
        <w:rPr>
          <w:rFonts w:ascii="Times New Roman" w:hAnsi="Times New Roman" w:cs="Times New Roman"/>
          <w:sz w:val="20"/>
          <w:szCs w:val="20"/>
        </w:rPr>
        <w:t xml:space="preserve">candidate </w:t>
      </w:r>
      <w:r>
        <w:rPr>
          <w:rFonts w:ascii="Times New Roman" w:hAnsi="Times New Roman" w:cs="Times New Roman"/>
          <w:sz w:val="20"/>
          <w:szCs w:val="20"/>
        </w:rPr>
        <w:t>nation, after which</w:t>
      </w:r>
      <w:r w:rsidRPr="008B0C74">
        <w:rPr>
          <w:rFonts w:ascii="Times New Roman" w:hAnsi="Times New Roman" w:cs="Times New Roman"/>
          <w:sz w:val="20"/>
          <w:szCs w:val="20"/>
        </w:rPr>
        <w:t xml:space="preserve"> </w:t>
      </w:r>
      <w:r>
        <w:rPr>
          <w:rFonts w:ascii="Times New Roman" w:hAnsi="Times New Roman" w:cs="Times New Roman"/>
          <w:sz w:val="20"/>
          <w:szCs w:val="20"/>
        </w:rPr>
        <w:t xml:space="preserve">there was a </w:t>
      </w:r>
      <w:r w:rsidRPr="008B0C74">
        <w:rPr>
          <w:rFonts w:ascii="Times New Roman" w:hAnsi="Times New Roman" w:cs="Times New Roman"/>
          <w:sz w:val="20"/>
          <w:szCs w:val="20"/>
        </w:rPr>
        <w:t xml:space="preserve">mutual </w:t>
      </w:r>
      <w:r>
        <w:rPr>
          <w:rFonts w:ascii="Times New Roman" w:hAnsi="Times New Roman" w:cs="Times New Roman"/>
          <w:sz w:val="20"/>
          <w:szCs w:val="20"/>
        </w:rPr>
        <w:t xml:space="preserve">and </w:t>
      </w:r>
      <w:r w:rsidRPr="008B0C74">
        <w:rPr>
          <w:rFonts w:ascii="Times New Roman" w:hAnsi="Times New Roman" w:cs="Times New Roman"/>
          <w:sz w:val="20"/>
          <w:szCs w:val="20"/>
        </w:rPr>
        <w:t xml:space="preserve">hierarchical exchange period between the EU and Turkey. The EU </w:t>
      </w:r>
      <w:r>
        <w:rPr>
          <w:rFonts w:ascii="Times New Roman" w:hAnsi="Times New Roman" w:cs="Times New Roman"/>
          <w:sz w:val="20"/>
          <w:szCs w:val="20"/>
        </w:rPr>
        <w:t xml:space="preserve">began to send lists of directives to </w:t>
      </w:r>
      <w:r w:rsidRPr="008B0C74">
        <w:rPr>
          <w:rFonts w:ascii="Times New Roman" w:hAnsi="Times New Roman" w:cs="Times New Roman"/>
          <w:sz w:val="20"/>
          <w:szCs w:val="20"/>
        </w:rPr>
        <w:t xml:space="preserve">Turkey, </w:t>
      </w:r>
      <w:r>
        <w:rPr>
          <w:rFonts w:ascii="Times New Roman" w:hAnsi="Times New Roman" w:cs="Times New Roman"/>
          <w:sz w:val="20"/>
          <w:szCs w:val="20"/>
        </w:rPr>
        <w:t xml:space="preserve">called </w:t>
      </w:r>
      <w:r w:rsidRPr="008B0C74">
        <w:rPr>
          <w:rFonts w:ascii="Times New Roman" w:hAnsi="Times New Roman" w:cs="Times New Roman"/>
          <w:sz w:val="20"/>
          <w:szCs w:val="20"/>
        </w:rPr>
        <w:t xml:space="preserve">the ‘Accession Partnership Documents’, </w:t>
      </w:r>
      <w:r>
        <w:rPr>
          <w:rFonts w:ascii="Times New Roman" w:hAnsi="Times New Roman" w:cs="Times New Roman"/>
          <w:sz w:val="20"/>
          <w:szCs w:val="20"/>
        </w:rPr>
        <w:t>in which the EU stipulated</w:t>
      </w:r>
      <w:r w:rsidRPr="008B0C74">
        <w:rPr>
          <w:rFonts w:ascii="Times New Roman" w:hAnsi="Times New Roman" w:cs="Times New Roman"/>
          <w:sz w:val="20"/>
          <w:szCs w:val="20"/>
        </w:rPr>
        <w:t xml:space="preserve"> the administrative and legislative </w:t>
      </w:r>
      <w:r>
        <w:rPr>
          <w:rFonts w:ascii="Times New Roman" w:hAnsi="Times New Roman" w:cs="Times New Roman"/>
          <w:sz w:val="20"/>
          <w:szCs w:val="20"/>
        </w:rPr>
        <w:t xml:space="preserve">corrections required of </w:t>
      </w:r>
      <w:r w:rsidRPr="008B0C74">
        <w:rPr>
          <w:rFonts w:ascii="Times New Roman" w:hAnsi="Times New Roman" w:cs="Times New Roman"/>
          <w:sz w:val="20"/>
          <w:szCs w:val="20"/>
        </w:rPr>
        <w:t xml:space="preserve">Turkey </w:t>
      </w:r>
      <w:r>
        <w:rPr>
          <w:rFonts w:ascii="Times New Roman" w:hAnsi="Times New Roman" w:cs="Times New Roman"/>
          <w:sz w:val="20"/>
          <w:szCs w:val="20"/>
        </w:rPr>
        <w:t xml:space="preserve">in order to become an </w:t>
      </w:r>
      <w:r w:rsidRPr="008B0C74">
        <w:rPr>
          <w:rFonts w:ascii="Times New Roman" w:hAnsi="Times New Roman" w:cs="Times New Roman"/>
          <w:sz w:val="20"/>
          <w:szCs w:val="20"/>
        </w:rPr>
        <w:t>official member</w:t>
      </w:r>
      <w:r>
        <w:rPr>
          <w:rFonts w:ascii="Times New Roman" w:hAnsi="Times New Roman" w:cs="Times New Roman"/>
          <w:sz w:val="20"/>
          <w:szCs w:val="20"/>
        </w:rPr>
        <w:t xml:space="preserve"> of the union, </w:t>
      </w:r>
      <w:r w:rsidRPr="00805651">
        <w:rPr>
          <w:rFonts w:ascii="Times New Roman" w:hAnsi="Times New Roman" w:cs="Times New Roman"/>
          <w:sz w:val="20"/>
          <w:szCs w:val="20"/>
        </w:rPr>
        <w:t>(Aldikacti-Marshall 2013).</w:t>
      </w:r>
      <w:r>
        <w:rPr>
          <w:rFonts w:ascii="Times New Roman" w:hAnsi="Times New Roman" w:cs="Times New Roman"/>
          <w:sz w:val="20"/>
          <w:szCs w:val="20"/>
        </w:rPr>
        <w:t xml:space="preserve"> </w:t>
      </w:r>
    </w:p>
  </w:footnote>
  <w:footnote w:id="18">
    <w:p w14:paraId="5B1D7572" w14:textId="77777777" w:rsidR="00AC74B6" w:rsidRPr="00EB016B" w:rsidRDefault="00AC74B6" w:rsidP="00265FCC">
      <w:pPr>
        <w:widowControl w:val="0"/>
        <w:autoSpaceDE w:val="0"/>
        <w:autoSpaceDN w:val="0"/>
        <w:adjustRightInd w:val="0"/>
        <w:spacing w:after="240"/>
        <w:ind w:left="-426" w:right="-489"/>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Akser, Murat and Banu Baybars-Hawks. </w:t>
      </w:r>
      <w:r w:rsidRPr="004300DA">
        <w:rPr>
          <w:rFonts w:ascii="Times New Roman" w:hAnsi="Times New Roman" w:cs="Times New Roman"/>
          <w:b/>
          <w:sz w:val="20"/>
          <w:szCs w:val="20"/>
        </w:rPr>
        <w:t>Media and Democracy in Turkey: Toward A Model of Neoliberal Media Autocracy.</w:t>
      </w:r>
      <w:r w:rsidRPr="00C32464">
        <w:rPr>
          <w:rFonts w:ascii="Times New Roman" w:hAnsi="Times New Roman" w:cs="Times New Roman"/>
          <w:sz w:val="20"/>
          <w:szCs w:val="20"/>
        </w:rPr>
        <w:t xml:space="preserve"> </w:t>
      </w:r>
      <w:r w:rsidRPr="00C32464">
        <w:rPr>
          <w:rFonts w:ascii="Times New Roman" w:hAnsi="Times New Roman" w:cs="Times New Roman"/>
          <w:i/>
          <w:iCs/>
          <w:sz w:val="20"/>
          <w:szCs w:val="20"/>
        </w:rPr>
        <w:t xml:space="preserve">Middle East Journal of Culture and Communication </w:t>
      </w:r>
      <w:r>
        <w:rPr>
          <w:rFonts w:ascii="Times New Roman" w:hAnsi="Times New Roman" w:cs="Times New Roman"/>
          <w:sz w:val="20"/>
          <w:szCs w:val="20"/>
        </w:rPr>
        <w:t xml:space="preserve">5, (2012, p. </w:t>
      </w:r>
      <w:r w:rsidRPr="00C32464">
        <w:rPr>
          <w:rFonts w:ascii="Times New Roman" w:hAnsi="Times New Roman" w:cs="Times New Roman"/>
          <w:sz w:val="20"/>
          <w:szCs w:val="20"/>
        </w:rPr>
        <w:t>302–21</w:t>
      </w:r>
      <w:r>
        <w:rPr>
          <w:rFonts w:ascii="Times New Roman" w:hAnsi="Times New Roman" w:cs="Times New Roman"/>
          <w:sz w:val="20"/>
          <w:szCs w:val="20"/>
        </w:rPr>
        <w:t>)</w:t>
      </w:r>
      <w:r w:rsidRPr="00C32464">
        <w:rPr>
          <w:rFonts w:ascii="Times New Roman" w:hAnsi="Times New Roman" w:cs="Times New Roman"/>
          <w:sz w:val="20"/>
          <w:szCs w:val="20"/>
        </w:rPr>
        <w:t xml:space="preserve">. </w:t>
      </w:r>
    </w:p>
  </w:footnote>
  <w:footnote w:id="19">
    <w:p w14:paraId="142F7EF1" w14:textId="77777777" w:rsidR="00AC74B6" w:rsidRPr="00BD6CDC" w:rsidRDefault="00AC74B6" w:rsidP="00265FCC">
      <w:pPr>
        <w:widowControl w:val="0"/>
        <w:autoSpaceDE w:val="0"/>
        <w:autoSpaceDN w:val="0"/>
        <w:adjustRightInd w:val="0"/>
        <w:spacing w:after="240"/>
        <w:ind w:left="-426" w:right="-489"/>
        <w:jc w:val="both"/>
        <w:rPr>
          <w:rFonts w:ascii="Times New Roman" w:hAnsi="Times New Roman" w:cs="Times New Roman"/>
          <w:sz w:val="20"/>
          <w:szCs w:val="20"/>
        </w:rPr>
      </w:pPr>
      <w:r>
        <w:rPr>
          <w:rStyle w:val="FootnoteReference"/>
        </w:rPr>
        <w:footnoteRef/>
      </w:r>
      <w:r>
        <w:t xml:space="preserve"> </w:t>
      </w:r>
      <w:r w:rsidRPr="00BD6CDC">
        <w:rPr>
          <w:rFonts w:ascii="Times New Roman" w:hAnsi="Times New Roman" w:cs="Times New Roman"/>
          <w:sz w:val="20"/>
          <w:szCs w:val="20"/>
        </w:rPr>
        <w:t xml:space="preserve">Kazanoglu, Nazli. </w:t>
      </w:r>
      <w:r w:rsidRPr="00BD6CDC">
        <w:rPr>
          <w:rFonts w:ascii="Times New Roman" w:hAnsi="Times New Roman" w:cs="Times New Roman"/>
          <w:b/>
          <w:bCs/>
          <w:sz w:val="20"/>
          <w:szCs w:val="20"/>
        </w:rPr>
        <w:t xml:space="preserve">Work and Family Life Reconciliation Policies in Turkey: Europeanisation or Ottomanisation? </w:t>
      </w:r>
      <w:r w:rsidRPr="00BD6CDC">
        <w:rPr>
          <w:rFonts w:ascii="Times New Roman" w:hAnsi="Times New Roman" w:cs="Times New Roman"/>
          <w:iCs/>
          <w:sz w:val="20"/>
          <w:szCs w:val="20"/>
        </w:rPr>
        <w:t>Social Science</w:t>
      </w:r>
      <w:r>
        <w:rPr>
          <w:rFonts w:ascii="Times New Roman" w:hAnsi="Times New Roman" w:cs="Times New Roman"/>
          <w:iCs/>
          <w:sz w:val="20"/>
          <w:szCs w:val="20"/>
        </w:rPr>
        <w:t>,</w:t>
      </w:r>
      <w:r w:rsidRPr="00BD6CDC">
        <w:rPr>
          <w:rFonts w:ascii="Times New Roman" w:hAnsi="Times New Roman" w:cs="Times New Roman"/>
          <w:i/>
          <w:iCs/>
          <w:sz w:val="20"/>
          <w:szCs w:val="20"/>
        </w:rPr>
        <w:t xml:space="preserve"> </w:t>
      </w:r>
      <w:r w:rsidRPr="00BD6CDC">
        <w:rPr>
          <w:rFonts w:ascii="Times New Roman" w:hAnsi="Times New Roman" w:cs="Times New Roman"/>
          <w:iCs/>
          <w:sz w:val="20"/>
          <w:szCs w:val="20"/>
        </w:rPr>
        <w:t>(</w:t>
      </w:r>
      <w:r w:rsidRPr="00BD6CDC">
        <w:rPr>
          <w:rFonts w:ascii="Times New Roman" w:hAnsi="Times New Roman" w:cs="Times New Roman"/>
          <w:bCs/>
          <w:sz w:val="20"/>
          <w:szCs w:val="20"/>
        </w:rPr>
        <w:t>2019</w:t>
      </w:r>
      <w:r w:rsidRPr="00BD6CDC">
        <w:rPr>
          <w:rFonts w:ascii="Times New Roman" w:hAnsi="Times New Roman" w:cs="Times New Roman"/>
          <w:sz w:val="20"/>
          <w:szCs w:val="20"/>
        </w:rPr>
        <w:t xml:space="preserve">, </w:t>
      </w:r>
      <w:r>
        <w:rPr>
          <w:rFonts w:ascii="Times New Roman" w:hAnsi="Times New Roman" w:cs="Times New Roman"/>
          <w:sz w:val="20"/>
          <w:szCs w:val="20"/>
        </w:rPr>
        <w:t xml:space="preserve">p. </w:t>
      </w:r>
      <w:r>
        <w:rPr>
          <w:rFonts w:ascii="Times New Roman" w:hAnsi="Times New Roman" w:cs="Times New Roman"/>
          <w:i/>
          <w:iCs/>
          <w:sz w:val="20"/>
          <w:szCs w:val="20"/>
        </w:rPr>
        <w:t>3</w:t>
      </w:r>
      <w:r>
        <w:rPr>
          <w:rFonts w:ascii="Times New Roman" w:hAnsi="Times New Roman" w:cs="Times New Roman"/>
          <w:sz w:val="20"/>
          <w:szCs w:val="20"/>
        </w:rPr>
        <w:t>).</w:t>
      </w:r>
    </w:p>
    <w:p w14:paraId="7D25A5EF" w14:textId="77777777" w:rsidR="00AC74B6" w:rsidRDefault="00AC74B6" w:rsidP="00265FCC">
      <w:pPr>
        <w:pStyle w:val="FootnoteText"/>
      </w:pPr>
    </w:p>
  </w:footnote>
  <w:footnote w:id="20">
    <w:p w14:paraId="7610B134" w14:textId="77777777" w:rsidR="00AC74B6" w:rsidRPr="00A13442" w:rsidRDefault="00AC74B6" w:rsidP="009D0D28">
      <w:pPr>
        <w:pStyle w:val="NoSpacing"/>
        <w:ind w:left="-426" w:right="-489"/>
        <w:jc w:val="both"/>
        <w:rPr>
          <w:rFonts w:ascii="Times New Roman" w:hAnsi="Times New Roman" w:cs="Times New Roman"/>
          <w:sz w:val="20"/>
          <w:szCs w:val="20"/>
        </w:rPr>
      </w:pPr>
      <w:r w:rsidRPr="00A13442">
        <w:rPr>
          <w:rStyle w:val="FootnoteReference"/>
          <w:rFonts w:ascii="Times New Roman" w:hAnsi="Times New Roman" w:cs="Times New Roman"/>
          <w:sz w:val="20"/>
          <w:szCs w:val="20"/>
        </w:rPr>
        <w:footnoteRef/>
      </w:r>
      <w:r w:rsidRPr="00A13442">
        <w:rPr>
          <w:rFonts w:ascii="Times New Roman" w:hAnsi="Times New Roman" w:cs="Times New Roman"/>
          <w:sz w:val="20"/>
          <w:szCs w:val="20"/>
        </w:rPr>
        <w:t xml:space="preserve"> op. cit, p, 56.</w:t>
      </w:r>
    </w:p>
  </w:footnote>
  <w:footnote w:id="21">
    <w:p w14:paraId="796B17CA" w14:textId="77777777" w:rsidR="00AC74B6" w:rsidRPr="00A13442" w:rsidRDefault="00AC74B6" w:rsidP="009D0D28">
      <w:pPr>
        <w:pStyle w:val="NoSpacing"/>
        <w:ind w:left="-426" w:right="-489"/>
        <w:jc w:val="both"/>
        <w:rPr>
          <w:rFonts w:ascii="Times New Roman" w:hAnsi="Times New Roman" w:cs="Times New Roman"/>
          <w:sz w:val="20"/>
          <w:szCs w:val="20"/>
        </w:rPr>
      </w:pPr>
      <w:r w:rsidRPr="00A13442">
        <w:rPr>
          <w:rStyle w:val="FootnoteReference"/>
          <w:rFonts w:ascii="Times New Roman" w:hAnsi="Times New Roman" w:cs="Times New Roman"/>
          <w:sz w:val="20"/>
          <w:szCs w:val="20"/>
        </w:rPr>
        <w:footnoteRef/>
      </w:r>
      <w:r w:rsidRPr="00A13442">
        <w:rPr>
          <w:rFonts w:ascii="Times New Roman" w:hAnsi="Times New Roman" w:cs="Times New Roman"/>
          <w:sz w:val="20"/>
          <w:szCs w:val="20"/>
        </w:rPr>
        <w:t xml:space="preserve"> op. cit, p, 56.</w:t>
      </w:r>
    </w:p>
  </w:footnote>
  <w:footnote w:id="22">
    <w:p w14:paraId="1C7CA2FC" w14:textId="77777777" w:rsidR="00AC74B6" w:rsidRPr="00A13442" w:rsidRDefault="00AC74B6" w:rsidP="009D0D28">
      <w:pPr>
        <w:pStyle w:val="NoSpacing"/>
        <w:ind w:left="-426" w:right="-489"/>
        <w:jc w:val="both"/>
        <w:rPr>
          <w:rFonts w:ascii="Times New Roman" w:hAnsi="Times New Roman" w:cs="Times New Roman"/>
          <w:sz w:val="20"/>
          <w:szCs w:val="20"/>
        </w:rPr>
      </w:pPr>
      <w:r w:rsidRPr="00A13442">
        <w:rPr>
          <w:rStyle w:val="FootnoteReference"/>
          <w:rFonts w:ascii="Times New Roman" w:hAnsi="Times New Roman" w:cs="Times New Roman"/>
          <w:sz w:val="20"/>
          <w:szCs w:val="20"/>
        </w:rPr>
        <w:footnoteRef/>
      </w:r>
      <w:r w:rsidRPr="00A13442">
        <w:rPr>
          <w:rFonts w:ascii="Times New Roman" w:hAnsi="Times New Roman" w:cs="Times New Roman"/>
          <w:sz w:val="20"/>
          <w:szCs w:val="20"/>
        </w:rPr>
        <w:t xml:space="preserve"> Dedeoglu, Saniye. </w:t>
      </w:r>
      <w:r w:rsidRPr="00843E4B">
        <w:rPr>
          <w:rFonts w:ascii="Times New Roman" w:hAnsi="Times New Roman" w:cs="Times New Roman"/>
          <w:b/>
          <w:sz w:val="20"/>
          <w:szCs w:val="20"/>
        </w:rPr>
        <w:t>Equality, Protection or Discrimination: Gender equality Policies in Turkey</w:t>
      </w:r>
      <w:r w:rsidRPr="00A13442">
        <w:rPr>
          <w:rFonts w:ascii="Times New Roman" w:hAnsi="Times New Roman" w:cs="Times New Roman"/>
          <w:sz w:val="20"/>
          <w:szCs w:val="20"/>
        </w:rPr>
        <w:t xml:space="preserve">. </w:t>
      </w:r>
      <w:r w:rsidRPr="00A13442">
        <w:rPr>
          <w:rFonts w:ascii="Times New Roman" w:hAnsi="Times New Roman" w:cs="Times New Roman"/>
          <w:i/>
          <w:iCs/>
          <w:sz w:val="20"/>
          <w:szCs w:val="20"/>
        </w:rPr>
        <w:t xml:space="preserve">Social Politics: International Studies in Gender, State &amp; Society, </w:t>
      </w:r>
      <w:r w:rsidRPr="00A13442">
        <w:rPr>
          <w:rFonts w:ascii="Times New Roman" w:hAnsi="Times New Roman" w:cs="Times New Roman"/>
          <w:sz w:val="20"/>
          <w:szCs w:val="20"/>
        </w:rPr>
        <w:t>19, (2012, p. 99).</w:t>
      </w:r>
    </w:p>
  </w:footnote>
  <w:footnote w:id="23">
    <w:p w14:paraId="6A577DD9" w14:textId="77777777" w:rsidR="00AC74B6" w:rsidRDefault="00AC74B6" w:rsidP="00963242">
      <w:pPr>
        <w:pStyle w:val="FootnoteText"/>
        <w:ind w:left="-426" w:right="-489"/>
        <w:jc w:val="both"/>
        <w:rPr>
          <w:rFonts w:ascii="Times New Roman" w:hAnsi="Times New Roman" w:cs="Times New Roman"/>
          <w:bCs/>
          <w:sz w:val="20"/>
          <w:szCs w:val="20"/>
        </w:rPr>
      </w:pPr>
      <w:r>
        <w:rPr>
          <w:rStyle w:val="FootnoteReference"/>
        </w:rPr>
        <w:footnoteRef/>
      </w:r>
      <w:r>
        <w:t xml:space="preserve"> </w:t>
      </w:r>
      <w:r w:rsidRPr="004D083C">
        <w:rPr>
          <w:rFonts w:ascii="Times New Roman" w:hAnsi="Times New Roman" w:cs="Times New Roman"/>
          <w:sz w:val="20"/>
          <w:szCs w:val="20"/>
        </w:rPr>
        <w:t xml:space="preserve">Aybars, Ayse, Copeland Paul and Tsarouhas, </w:t>
      </w:r>
      <w:r>
        <w:rPr>
          <w:rFonts w:ascii="Times New Roman" w:hAnsi="Times New Roman" w:cs="Times New Roman"/>
          <w:b/>
          <w:bCs/>
          <w:sz w:val="20"/>
          <w:szCs w:val="20"/>
        </w:rPr>
        <w:t>Europeanization without Substance? EU–Turkey Relations and Gender Equality in E</w:t>
      </w:r>
      <w:r w:rsidRPr="004D083C">
        <w:rPr>
          <w:rFonts w:ascii="Times New Roman" w:hAnsi="Times New Roman" w:cs="Times New Roman"/>
          <w:b/>
          <w:bCs/>
          <w:sz w:val="20"/>
          <w:szCs w:val="20"/>
        </w:rPr>
        <w:t>mployment</w:t>
      </w:r>
      <w:r>
        <w:rPr>
          <w:rFonts w:ascii="Times New Roman" w:hAnsi="Times New Roman" w:cs="Times New Roman"/>
          <w:b/>
          <w:bCs/>
          <w:sz w:val="20"/>
          <w:szCs w:val="20"/>
        </w:rPr>
        <w:t xml:space="preserve">, </w:t>
      </w:r>
      <w:r>
        <w:rPr>
          <w:rFonts w:ascii="Times New Roman" w:hAnsi="Times New Roman" w:cs="Times New Roman"/>
          <w:bCs/>
          <w:sz w:val="20"/>
          <w:szCs w:val="20"/>
        </w:rPr>
        <w:t>Macmillan Publishers Limited, (2018, p. 84).</w:t>
      </w:r>
    </w:p>
    <w:p w14:paraId="3983DE60" w14:textId="77777777" w:rsidR="00AC74B6" w:rsidRDefault="00AC74B6" w:rsidP="00963242">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09A"/>
    <w:multiLevelType w:val="hybridMultilevel"/>
    <w:tmpl w:val="F8AC6A32"/>
    <w:lvl w:ilvl="0" w:tplc="39FA77A2">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
    <w:nsid w:val="162F46B3"/>
    <w:multiLevelType w:val="hybridMultilevel"/>
    <w:tmpl w:val="E4ECF070"/>
    <w:lvl w:ilvl="0" w:tplc="B9F478B2">
      <w:start w:val="1"/>
      <w:numFmt w:val="upperLetter"/>
      <w:lvlText w:val="%1."/>
      <w:lvlJc w:val="left"/>
      <w:pPr>
        <w:ind w:left="-6" w:hanging="42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
    <w:nsid w:val="29DE60C6"/>
    <w:multiLevelType w:val="hybridMultilevel"/>
    <w:tmpl w:val="B77C87F8"/>
    <w:lvl w:ilvl="0" w:tplc="95460C4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nsid w:val="2C21308A"/>
    <w:multiLevelType w:val="hybridMultilevel"/>
    <w:tmpl w:val="3A6EF286"/>
    <w:lvl w:ilvl="0" w:tplc="00A2C7B0">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
    <w:nsid w:val="4E765A52"/>
    <w:multiLevelType w:val="multilevel"/>
    <w:tmpl w:val="872E8ECA"/>
    <w:lvl w:ilvl="0">
      <w:start w:val="3"/>
      <w:numFmt w:val="decimal"/>
      <w:lvlText w:val="%1"/>
      <w:lvlJc w:val="left"/>
      <w:pPr>
        <w:ind w:left="480" w:hanging="480"/>
      </w:pPr>
      <w:rPr>
        <w:rFonts w:hint="default"/>
      </w:rPr>
    </w:lvl>
    <w:lvl w:ilvl="1">
      <w:start w:val="2"/>
      <w:numFmt w:val="decimal"/>
      <w:lvlText w:val="%1.%2"/>
      <w:lvlJc w:val="left"/>
      <w:pPr>
        <w:ind w:left="267" w:hanging="480"/>
      </w:pPr>
      <w:rPr>
        <w:rFonts w:hint="default"/>
      </w:rPr>
    </w:lvl>
    <w:lvl w:ilvl="2">
      <w:start w:val="1"/>
      <w:numFmt w:val="decimal"/>
      <w:lvlText w:val="%1.%2.%3"/>
      <w:lvlJc w:val="left"/>
      <w:pPr>
        <w:ind w:left="294" w:hanging="720"/>
      </w:pPr>
      <w:rPr>
        <w:rFonts w:hint="default"/>
      </w:rPr>
    </w:lvl>
    <w:lvl w:ilvl="3">
      <w:start w:val="1"/>
      <w:numFmt w:val="decimal"/>
      <w:lvlText w:val="%1.%2.%3.%4"/>
      <w:lvlJc w:val="left"/>
      <w:pPr>
        <w:ind w:left="81" w:hanging="720"/>
      </w:pPr>
      <w:rPr>
        <w:rFonts w:hint="default"/>
      </w:rPr>
    </w:lvl>
    <w:lvl w:ilvl="4">
      <w:start w:val="1"/>
      <w:numFmt w:val="decimal"/>
      <w:lvlText w:val="%1.%2.%3.%4.%5"/>
      <w:lvlJc w:val="left"/>
      <w:pPr>
        <w:ind w:left="228" w:hanging="1080"/>
      </w:pPr>
      <w:rPr>
        <w:rFonts w:hint="default"/>
      </w:rPr>
    </w:lvl>
    <w:lvl w:ilvl="5">
      <w:start w:val="1"/>
      <w:numFmt w:val="decimal"/>
      <w:lvlText w:val="%1.%2.%3.%4.%5.%6"/>
      <w:lvlJc w:val="left"/>
      <w:pPr>
        <w:ind w:left="15" w:hanging="1080"/>
      </w:pPr>
      <w:rPr>
        <w:rFonts w:hint="default"/>
      </w:rPr>
    </w:lvl>
    <w:lvl w:ilvl="6">
      <w:start w:val="1"/>
      <w:numFmt w:val="decimal"/>
      <w:lvlText w:val="%1.%2.%3.%4.%5.%6.%7"/>
      <w:lvlJc w:val="left"/>
      <w:pPr>
        <w:ind w:left="162" w:hanging="1440"/>
      </w:pPr>
      <w:rPr>
        <w:rFonts w:hint="default"/>
      </w:rPr>
    </w:lvl>
    <w:lvl w:ilvl="7">
      <w:start w:val="1"/>
      <w:numFmt w:val="decimal"/>
      <w:lvlText w:val="%1.%2.%3.%4.%5.%6.%7.%8"/>
      <w:lvlJc w:val="left"/>
      <w:pPr>
        <w:ind w:left="-51" w:hanging="1440"/>
      </w:pPr>
      <w:rPr>
        <w:rFonts w:hint="default"/>
      </w:rPr>
    </w:lvl>
    <w:lvl w:ilvl="8">
      <w:start w:val="1"/>
      <w:numFmt w:val="decimal"/>
      <w:lvlText w:val="%1.%2.%3.%4.%5.%6.%7.%8.%9"/>
      <w:lvlJc w:val="left"/>
      <w:pPr>
        <w:ind w:left="96" w:hanging="1800"/>
      </w:pPr>
      <w:rPr>
        <w:rFonts w:hint="default"/>
      </w:rPr>
    </w:lvl>
  </w:abstractNum>
  <w:abstractNum w:abstractNumId="5">
    <w:nsid w:val="698E49D4"/>
    <w:multiLevelType w:val="hybridMultilevel"/>
    <w:tmpl w:val="2DCA271E"/>
    <w:lvl w:ilvl="0" w:tplc="E9FE7962">
      <w:start w:val="1"/>
      <w:numFmt w:val="upperLetter"/>
      <w:lvlText w:val="%1."/>
      <w:lvlJc w:val="left"/>
      <w:pPr>
        <w:ind w:left="-6" w:hanging="42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9D2"/>
    <w:rsid w:val="00013F31"/>
    <w:rsid w:val="000210C3"/>
    <w:rsid w:val="00041D79"/>
    <w:rsid w:val="00082C6E"/>
    <w:rsid w:val="00091857"/>
    <w:rsid w:val="000A07C4"/>
    <w:rsid w:val="000A223C"/>
    <w:rsid w:val="000A5232"/>
    <w:rsid w:val="000C2B97"/>
    <w:rsid w:val="000E12C7"/>
    <w:rsid w:val="000F5243"/>
    <w:rsid w:val="000F6FE5"/>
    <w:rsid w:val="001079B6"/>
    <w:rsid w:val="00133FE3"/>
    <w:rsid w:val="00137E41"/>
    <w:rsid w:val="001439BD"/>
    <w:rsid w:val="00154DD1"/>
    <w:rsid w:val="00194B8A"/>
    <w:rsid w:val="001A6E0B"/>
    <w:rsid w:val="001C252D"/>
    <w:rsid w:val="001D3BC7"/>
    <w:rsid w:val="001D59D2"/>
    <w:rsid w:val="001D695C"/>
    <w:rsid w:val="001E36FD"/>
    <w:rsid w:val="001F587F"/>
    <w:rsid w:val="002227C7"/>
    <w:rsid w:val="002235DC"/>
    <w:rsid w:val="002327FC"/>
    <w:rsid w:val="00232B5F"/>
    <w:rsid w:val="00265CCD"/>
    <w:rsid w:val="00265FCC"/>
    <w:rsid w:val="002B1FA2"/>
    <w:rsid w:val="002B6280"/>
    <w:rsid w:val="002C5CF6"/>
    <w:rsid w:val="003156B2"/>
    <w:rsid w:val="00342D68"/>
    <w:rsid w:val="00354DA7"/>
    <w:rsid w:val="00360304"/>
    <w:rsid w:val="003751F1"/>
    <w:rsid w:val="00392422"/>
    <w:rsid w:val="003F1960"/>
    <w:rsid w:val="00404EB3"/>
    <w:rsid w:val="00411F6B"/>
    <w:rsid w:val="00424975"/>
    <w:rsid w:val="004B0B41"/>
    <w:rsid w:val="004B0CC1"/>
    <w:rsid w:val="004B7399"/>
    <w:rsid w:val="004D0204"/>
    <w:rsid w:val="004F226F"/>
    <w:rsid w:val="00511D6F"/>
    <w:rsid w:val="00534B44"/>
    <w:rsid w:val="00560CF4"/>
    <w:rsid w:val="00563801"/>
    <w:rsid w:val="00567903"/>
    <w:rsid w:val="005852EB"/>
    <w:rsid w:val="005A7513"/>
    <w:rsid w:val="005B172A"/>
    <w:rsid w:val="005B28A5"/>
    <w:rsid w:val="005F05C9"/>
    <w:rsid w:val="006068CB"/>
    <w:rsid w:val="006112AD"/>
    <w:rsid w:val="00624546"/>
    <w:rsid w:val="006301B3"/>
    <w:rsid w:val="00645003"/>
    <w:rsid w:val="006536C9"/>
    <w:rsid w:val="0067585B"/>
    <w:rsid w:val="0067677B"/>
    <w:rsid w:val="00685EF6"/>
    <w:rsid w:val="006A554D"/>
    <w:rsid w:val="006D06EF"/>
    <w:rsid w:val="006E0964"/>
    <w:rsid w:val="006F6457"/>
    <w:rsid w:val="007030A1"/>
    <w:rsid w:val="007042B4"/>
    <w:rsid w:val="007140B2"/>
    <w:rsid w:val="00717911"/>
    <w:rsid w:val="0072556C"/>
    <w:rsid w:val="00750BF5"/>
    <w:rsid w:val="0076480D"/>
    <w:rsid w:val="00780853"/>
    <w:rsid w:val="00785A10"/>
    <w:rsid w:val="0079556C"/>
    <w:rsid w:val="007A0ECD"/>
    <w:rsid w:val="007B4AF9"/>
    <w:rsid w:val="0081658B"/>
    <w:rsid w:val="00834BDC"/>
    <w:rsid w:val="00853255"/>
    <w:rsid w:val="00862025"/>
    <w:rsid w:val="0086362A"/>
    <w:rsid w:val="00865902"/>
    <w:rsid w:val="0087445A"/>
    <w:rsid w:val="0087571C"/>
    <w:rsid w:val="008A1300"/>
    <w:rsid w:val="008A761C"/>
    <w:rsid w:val="008D3FE4"/>
    <w:rsid w:val="008D6D15"/>
    <w:rsid w:val="008E382A"/>
    <w:rsid w:val="008E3AFA"/>
    <w:rsid w:val="008F4383"/>
    <w:rsid w:val="008F568F"/>
    <w:rsid w:val="00910863"/>
    <w:rsid w:val="00925288"/>
    <w:rsid w:val="00942F69"/>
    <w:rsid w:val="00951EC5"/>
    <w:rsid w:val="00963242"/>
    <w:rsid w:val="00963C95"/>
    <w:rsid w:val="00964F89"/>
    <w:rsid w:val="009778A4"/>
    <w:rsid w:val="00995509"/>
    <w:rsid w:val="009A383F"/>
    <w:rsid w:val="009C7355"/>
    <w:rsid w:val="009D0D28"/>
    <w:rsid w:val="009D1AF5"/>
    <w:rsid w:val="009E02C7"/>
    <w:rsid w:val="009F040B"/>
    <w:rsid w:val="00A22415"/>
    <w:rsid w:val="00A240B9"/>
    <w:rsid w:val="00A24851"/>
    <w:rsid w:val="00A30DA5"/>
    <w:rsid w:val="00A36265"/>
    <w:rsid w:val="00A455AD"/>
    <w:rsid w:val="00A50F4E"/>
    <w:rsid w:val="00A57F7A"/>
    <w:rsid w:val="00A73DDD"/>
    <w:rsid w:val="00A80861"/>
    <w:rsid w:val="00A83DFB"/>
    <w:rsid w:val="00A84FA9"/>
    <w:rsid w:val="00A92314"/>
    <w:rsid w:val="00A956DA"/>
    <w:rsid w:val="00AC5115"/>
    <w:rsid w:val="00AC54A6"/>
    <w:rsid w:val="00AC57C7"/>
    <w:rsid w:val="00AC74B6"/>
    <w:rsid w:val="00B75354"/>
    <w:rsid w:val="00B858B8"/>
    <w:rsid w:val="00BE296B"/>
    <w:rsid w:val="00BF5484"/>
    <w:rsid w:val="00BF7D00"/>
    <w:rsid w:val="00C16EF5"/>
    <w:rsid w:val="00C35CAE"/>
    <w:rsid w:val="00C53319"/>
    <w:rsid w:val="00C54E10"/>
    <w:rsid w:val="00C87AFB"/>
    <w:rsid w:val="00CC3909"/>
    <w:rsid w:val="00CD477E"/>
    <w:rsid w:val="00CD6955"/>
    <w:rsid w:val="00CE2B18"/>
    <w:rsid w:val="00CE57D3"/>
    <w:rsid w:val="00D15CEA"/>
    <w:rsid w:val="00D216D4"/>
    <w:rsid w:val="00D36ACE"/>
    <w:rsid w:val="00D53BB0"/>
    <w:rsid w:val="00D75CA8"/>
    <w:rsid w:val="00DD5F28"/>
    <w:rsid w:val="00DE3403"/>
    <w:rsid w:val="00DE4E6B"/>
    <w:rsid w:val="00DF1815"/>
    <w:rsid w:val="00E1388F"/>
    <w:rsid w:val="00E15D96"/>
    <w:rsid w:val="00E31AF8"/>
    <w:rsid w:val="00E65C2C"/>
    <w:rsid w:val="00E92CC9"/>
    <w:rsid w:val="00EC64CC"/>
    <w:rsid w:val="00EE2917"/>
    <w:rsid w:val="00EF25C9"/>
    <w:rsid w:val="00F06812"/>
    <w:rsid w:val="00F12B5D"/>
    <w:rsid w:val="00F205C6"/>
    <w:rsid w:val="00F326A1"/>
    <w:rsid w:val="00F37D63"/>
    <w:rsid w:val="00F4011B"/>
    <w:rsid w:val="00F57C2D"/>
    <w:rsid w:val="00F64433"/>
    <w:rsid w:val="00F65EEF"/>
    <w:rsid w:val="00F770FD"/>
    <w:rsid w:val="00F774E8"/>
    <w:rsid w:val="00F95A93"/>
    <w:rsid w:val="00F979A5"/>
    <w:rsid w:val="00FA29D8"/>
    <w:rsid w:val="00FA352E"/>
    <w:rsid w:val="00FA7228"/>
    <w:rsid w:val="00FB3897"/>
    <w:rsid w:val="00FB7DB0"/>
    <w:rsid w:val="00FC26E0"/>
    <w:rsid w:val="00FE402F"/>
    <w:rsid w:val="00FF55CA"/>
    <w:rsid w:val="00FF6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A071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909"/>
    <w:rPr>
      <w:color w:val="0000FF" w:themeColor="hyperlink"/>
      <w:u w:val="single"/>
    </w:rPr>
  </w:style>
  <w:style w:type="paragraph" w:customStyle="1" w:styleId="normal0">
    <w:name w:val="normal"/>
    <w:rsid w:val="002227C7"/>
    <w:pPr>
      <w:spacing w:after="180" w:line="264" w:lineRule="auto"/>
    </w:pPr>
    <w:rPr>
      <w:rFonts w:ascii="Questrial" w:eastAsia="Questrial" w:hAnsi="Questrial" w:cs="Questrial"/>
      <w:sz w:val="23"/>
      <w:szCs w:val="23"/>
    </w:rPr>
  </w:style>
  <w:style w:type="paragraph" w:styleId="ListParagraph">
    <w:name w:val="List Paragraph"/>
    <w:basedOn w:val="Normal"/>
    <w:uiPriority w:val="34"/>
    <w:qFormat/>
    <w:rsid w:val="001E36FD"/>
    <w:pPr>
      <w:ind w:left="720"/>
      <w:contextualSpacing/>
    </w:pPr>
  </w:style>
  <w:style w:type="paragraph" w:styleId="NoSpacing">
    <w:name w:val="No Spacing"/>
    <w:uiPriority w:val="1"/>
    <w:qFormat/>
    <w:rsid w:val="0072556C"/>
  </w:style>
  <w:style w:type="paragraph" w:styleId="Footer">
    <w:name w:val="footer"/>
    <w:basedOn w:val="Normal"/>
    <w:link w:val="FooterChar"/>
    <w:uiPriority w:val="99"/>
    <w:unhideWhenUsed/>
    <w:rsid w:val="007A0ECD"/>
    <w:pPr>
      <w:tabs>
        <w:tab w:val="center" w:pos="4320"/>
        <w:tab w:val="right" w:pos="8640"/>
      </w:tabs>
    </w:pPr>
  </w:style>
  <w:style w:type="character" w:customStyle="1" w:styleId="FooterChar">
    <w:name w:val="Footer Char"/>
    <w:basedOn w:val="DefaultParagraphFont"/>
    <w:link w:val="Footer"/>
    <w:uiPriority w:val="99"/>
    <w:rsid w:val="007A0ECD"/>
  </w:style>
  <w:style w:type="character" w:styleId="PageNumber">
    <w:name w:val="page number"/>
    <w:basedOn w:val="DefaultParagraphFont"/>
    <w:uiPriority w:val="99"/>
    <w:semiHidden/>
    <w:unhideWhenUsed/>
    <w:rsid w:val="007A0ECD"/>
  </w:style>
  <w:style w:type="character" w:styleId="FootnoteReference">
    <w:name w:val="footnote reference"/>
    <w:basedOn w:val="DefaultParagraphFont"/>
    <w:uiPriority w:val="99"/>
    <w:unhideWhenUsed/>
    <w:rsid w:val="00CE57D3"/>
    <w:rPr>
      <w:vertAlign w:val="superscript"/>
    </w:rPr>
  </w:style>
  <w:style w:type="paragraph" w:styleId="FootnoteText">
    <w:name w:val="footnote text"/>
    <w:basedOn w:val="Normal"/>
    <w:link w:val="FootnoteTextChar"/>
    <w:uiPriority w:val="99"/>
    <w:unhideWhenUsed/>
    <w:rsid w:val="00AC54A6"/>
  </w:style>
  <w:style w:type="character" w:customStyle="1" w:styleId="FootnoteTextChar">
    <w:name w:val="Footnote Text Char"/>
    <w:basedOn w:val="DefaultParagraphFont"/>
    <w:link w:val="FootnoteText"/>
    <w:uiPriority w:val="99"/>
    <w:rsid w:val="00AC54A6"/>
  </w:style>
  <w:style w:type="table" w:styleId="TableGrid">
    <w:name w:val="Table Grid"/>
    <w:basedOn w:val="TableNormal"/>
    <w:uiPriority w:val="59"/>
    <w:rsid w:val="00560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909"/>
    <w:rPr>
      <w:color w:val="0000FF" w:themeColor="hyperlink"/>
      <w:u w:val="single"/>
    </w:rPr>
  </w:style>
  <w:style w:type="paragraph" w:customStyle="1" w:styleId="normal0">
    <w:name w:val="normal"/>
    <w:rsid w:val="002227C7"/>
    <w:pPr>
      <w:spacing w:after="180" w:line="264" w:lineRule="auto"/>
    </w:pPr>
    <w:rPr>
      <w:rFonts w:ascii="Questrial" w:eastAsia="Questrial" w:hAnsi="Questrial" w:cs="Questrial"/>
      <w:sz w:val="23"/>
      <w:szCs w:val="23"/>
    </w:rPr>
  </w:style>
  <w:style w:type="paragraph" w:styleId="ListParagraph">
    <w:name w:val="List Paragraph"/>
    <w:basedOn w:val="Normal"/>
    <w:uiPriority w:val="34"/>
    <w:qFormat/>
    <w:rsid w:val="001E36FD"/>
    <w:pPr>
      <w:ind w:left="720"/>
      <w:contextualSpacing/>
    </w:pPr>
  </w:style>
  <w:style w:type="paragraph" w:styleId="NoSpacing">
    <w:name w:val="No Spacing"/>
    <w:uiPriority w:val="1"/>
    <w:qFormat/>
    <w:rsid w:val="0072556C"/>
  </w:style>
  <w:style w:type="paragraph" w:styleId="Footer">
    <w:name w:val="footer"/>
    <w:basedOn w:val="Normal"/>
    <w:link w:val="FooterChar"/>
    <w:uiPriority w:val="99"/>
    <w:unhideWhenUsed/>
    <w:rsid w:val="007A0ECD"/>
    <w:pPr>
      <w:tabs>
        <w:tab w:val="center" w:pos="4320"/>
        <w:tab w:val="right" w:pos="8640"/>
      </w:tabs>
    </w:pPr>
  </w:style>
  <w:style w:type="character" w:customStyle="1" w:styleId="FooterChar">
    <w:name w:val="Footer Char"/>
    <w:basedOn w:val="DefaultParagraphFont"/>
    <w:link w:val="Footer"/>
    <w:uiPriority w:val="99"/>
    <w:rsid w:val="007A0ECD"/>
  </w:style>
  <w:style w:type="character" w:styleId="PageNumber">
    <w:name w:val="page number"/>
    <w:basedOn w:val="DefaultParagraphFont"/>
    <w:uiPriority w:val="99"/>
    <w:semiHidden/>
    <w:unhideWhenUsed/>
    <w:rsid w:val="007A0ECD"/>
  </w:style>
  <w:style w:type="character" w:styleId="FootnoteReference">
    <w:name w:val="footnote reference"/>
    <w:basedOn w:val="DefaultParagraphFont"/>
    <w:uiPriority w:val="99"/>
    <w:unhideWhenUsed/>
    <w:rsid w:val="00CE57D3"/>
    <w:rPr>
      <w:vertAlign w:val="superscript"/>
    </w:rPr>
  </w:style>
  <w:style w:type="paragraph" w:styleId="FootnoteText">
    <w:name w:val="footnote text"/>
    <w:basedOn w:val="Normal"/>
    <w:link w:val="FootnoteTextChar"/>
    <w:uiPriority w:val="99"/>
    <w:unhideWhenUsed/>
    <w:rsid w:val="00AC54A6"/>
  </w:style>
  <w:style w:type="character" w:customStyle="1" w:styleId="FootnoteTextChar">
    <w:name w:val="Footnote Text Char"/>
    <w:basedOn w:val="DefaultParagraphFont"/>
    <w:link w:val="FootnoteText"/>
    <w:uiPriority w:val="99"/>
    <w:rsid w:val="00AC54A6"/>
  </w:style>
  <w:style w:type="table" w:styleId="TableGrid">
    <w:name w:val="Table Grid"/>
    <w:basedOn w:val="TableNormal"/>
    <w:uiPriority w:val="59"/>
    <w:rsid w:val="00560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c.europa.eu/social/main.jsp?catId=329&amp;langId=en" TargetMode="External"/><Relationship Id="rId10" Type="http://schemas.openxmlformats.org/officeDocument/2006/relationships/hyperlink" Target="http://ec.europa.eu/social/main.jsp?&amp;catId=1311&amp;langI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32FC4-D067-F444-AAE1-6B2A1556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12</Pages>
  <Words>3603</Words>
  <Characters>20540</Characters>
  <Application>Microsoft Macintosh Word</Application>
  <DocSecurity>0</DocSecurity>
  <Lines>171</Lines>
  <Paragraphs>48</Paragraphs>
  <ScaleCrop>false</ScaleCrop>
  <Company>XL Inc.</Company>
  <LinksUpToDate>false</LinksUpToDate>
  <CharactersWithSpaces>24095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XL Odikpo</dc:creator>
  <cp:keywords/>
  <dc:description/>
  <cp:lastModifiedBy>DJ XL Odikpo</cp:lastModifiedBy>
  <cp:revision>213</cp:revision>
  <dcterms:created xsi:type="dcterms:W3CDTF">2021-02-01T08:02:00Z</dcterms:created>
  <dcterms:modified xsi:type="dcterms:W3CDTF">2021-02-02T12:21:00Z</dcterms:modified>
</cp:coreProperties>
</file>